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08</w:t>
      </w:r>
    </w:p>
    <w:p>
      <w:r>
        <w:rPr>
          <w:rFonts w:ascii="Verdana" w:hAnsi="Verdana"/>
          <w:b/>
          <w:sz w:val="18"/>
        </w:rPr>
        <w:t>0 08 001  Caractéristique correspondant à des données de sondage vertical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Niveau standard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Niveau de la tropopause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Niveau du vent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Niveau significatif, température et/ou humidité relative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Niveau significatif,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08 002  Caractéristique verticale (observations en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Les règles d'observation pour la base du nuage le plus bas et les types de nuages de FM 12 SYNOP et FM 13 SHIP s'appliquent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Première couche de nuages significatifs (autres que cumulonimbus)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Deuxième couche de nuages significatifs (autres que cumulonimbus)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Troisième couche de nuages significatifs (autres que cumulonimbus)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Couche de cumulonimbus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Plafond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Nuages non détectés en dessous de l'(des) altitude(s) suivante(s)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Nuages de l'étage inférieur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Nuages de l'étage moyen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Nuages de l'étage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Couche de nuages dont la base est en dessous de la station et le sommet au-dessus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Couche de nuages dont la base et le sommet sont en dessous du niveau de la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Aucun nuage détecté par le système de détection des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Première couche de nuages détectée par un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Deuxième couche de nuages détectée par un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Troisième couche de nuages détectée par un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Quatrième couche de nuages détectée par un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25-61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Valeur ne s'appliquant pas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08 003  Caractéristique verticale (observations par satellite)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Base du sondage par satellite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Sommet des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Tropopause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Eau précipitable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Luminance énergétique observée par sondage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Températures moyennes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Nuages de l'étage inférieur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Nuages de l'étage moyen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Nuages de l'étage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08 004  Phase de vol de l'aéronef</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Non stable (UNS)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Niveau de vol, observation régulière (LVR)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Niveau de vol, vent maximal rencontré (LVW)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Phase ascendante (ASC)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Phase descendante (DES)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08 005  Signification de la caractéristique météorologique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Centre de la tempête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Limite extérieure ou bord de la tempête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Emplacement du vent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Localisation de la tempête dans l'analyse perturbée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Localisation de la tempête dans l'analyse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08 006  Caractéristique du sondage vertical de l'ozone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Niveau normalisé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Niveau de la tropopause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Niveau maximal marquant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Niveau minimal marquant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Niveau de pression minimal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Niveau de signification indéterminée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08 007  Caractéristiques dimensionnelles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Point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Ligne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Volume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p>
      <w:r>
        <w:rPr>
          <w:rFonts w:ascii="Verdana" w:hAnsi="Verdana"/>
          <w:b/>
          <w:sz w:val="18"/>
        </w:rPr>
        <w:t>0 08 008  Caractéristique correspondant à des données de sondage du rayonnement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Niveau normalisé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Niveau de la tropopause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Niveau de rayonnement bêta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Niveau de rayonnement gamma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Niveau de pression minimal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Niveau de signification indéterminée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08 009  Phase de vol détaillée de l'aéronef</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Vol en palier, observation régulière, régime non stabilisé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Vol en palier, vent maximal rencontré, régime non stabilisé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Régime non stabilisé (UNS)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Vol en palier, observation régulière (LVR)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Vol en palier, vent maximal rencontré (LVW)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Phase ascendante (ASC)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Phase descendante (DES)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Phase ascendante, intervalles d'observation déterminés suivant un incrément de temps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Phase ascendante, intervalles d'observation déterminés suivant un incrément de temps, régime non stabilisé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Phase ascendante, intervalles d'observation déterminés suivant un incrément de niveau de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Phase ascendante, intervalles d'observation déterminés suivant un incrément de niveau de pression, régime non stabilisé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Phase descendante, intervalles d'observation déterminés suivant un incrément de temps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Phase descendante, intervalles d'observation déterminés suivant un incrément de temps, régime non stabilisé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Phase descendante, intervalles d'observation déterminés suivant un incrément de niveau de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Phase descendante, intervalles d'observation déterminés suivant un incrément de niveau de pression, régime non stabilisé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08 010  Caractéristique de la surface (données de température)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Sol dénudé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Roche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Herbe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Eau (lac,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Eau d'inondation sous le capteur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Neige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Piste d'aérodrome ou route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Pont en acier de navire ou de plate-forme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Pont en bois de navire ou de plate-forme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Pont de navire ou de plate-forme en partie recouvert de tapis de caoutchouc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Toit de bâtiment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08 011  Caractéristique météorologique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Front quasi stationnaire en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Front quasi stationnaire en 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Front chaud en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Front chaud en 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Front froid en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Front froid en 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Occlusion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Ligne d'instabilité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Front intertropical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Ligne de convergence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Courant-jet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Ciel clair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Nuage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Turbulence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Tempête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Givrage d'aéronef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Phénomène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Volcan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Atmosphériques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Nuages spéciaux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Orage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Cyclone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Onde orographique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Tempête de poussière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Tempête de 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08 012  Identificateur terre/mer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Terre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Côte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08 013  Identificateur jour/nuit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Jour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Crépuscule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08 014  Identificateur pour la portée visuelle de piste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Valeur moyenne de 10 mn - valeur normale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Valeur moyenne de 10 mn - au-dessus de la limite supérieure pour évaluations de PVP (P)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 moyenne de 10 mn - au-dessous de la limite inférieure pour évaluations de PVP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minimale de 1 mn - valeur normale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Valeur minimale de 1 mn - au-dessus de la limite supérieure pour évaluations de PVP (P)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Valeur minimale de 1 mn - au-dessous de la limite inférieure pour évaluations de PVP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Valeur maximale de 1 mn - valeur normale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maximale de 1 mn - au-dessus de la limite supérieure pour évaluations de PVP (P)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Valeur maximale de 1 mn - au-dessous de la limite inférieure pour évaluations de PVP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08 015  Caractéristique du capteur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Capteur unique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Capteur principal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Capteur secondaire (de secours)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08 016  Identificateur de changement d'une prévision de type «tendance» ou d'une prévision d'aérodrome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NOSIG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BECMG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08 017  Identificateur de l'heure à laquelle le changement de prévision est attendu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08 018  Type de surface terre/glace mesurée par SEAWINDS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Terre présente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Carte des glaces de surface indique présence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Données de carte non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Données de carte d'atténuation non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08 019  Indicateur d'identification du centre suivant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Organisme des services de la circulation aérienne (ATS) desservant la Région d'information de vol (FIR)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Région d'information de vol (FIR)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Région supérieure d'information de vol (UIR)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Région de contrôle (CTA)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Centre d'avis de cendres volcaniques (VAAC)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Centre de veille météorologique (MWO) diffusant des renseignements SIGMET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08 021  Caractéristique temporelle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Série pour une certaine période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Moyenne sur une certaine période</w:t>
            </w:r>
          </w:p>
        </w:tc>
        <w:tc>
          <w:tcPr>
            <w:tcW w:type="dxa" w:w="5046"/>
          </w:tcPr>
          <w:p>
            <w:pPr>
              <w:spacing w:before="20" w:after="20"/>
            </w:pPr>
            <w:r/>
            <w:r>
              <w:rPr>
                <w:rFonts w:ascii="Verdana" w:hAnsi="Verdana"/>
                <w:b w:val="0"/>
                <w:sz w:val="16"/>
              </w:rPr>
              <w:t>Note 4: D’autres descripteurs sont requis pour réduire la charge de travail relative à la base de données de la station, par exemple pour l’identification de l’État fédéral et de l’axe routier.</w:t>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Accumulé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Série de prévisions pour une certaine période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Moyenne de prévisions sur une certaine période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Prévision accumulée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Moyenne d'ensemble</w:t>
            </w:r>
          </w:p>
        </w:tc>
        <w:tc>
          <w:tcPr>
            <w:tcW w:type="dxa" w:w="5046"/>
          </w:tcPr>
          <w:p>
            <w:pPr>
              <w:spacing w:before="20" w:after="20"/>
            </w:pPr>
            <w:r/>
            <w:r>
              <w:rPr>
                <w:rFonts w:ascii="Verdana" w:hAnsi="Verdana"/>
                <w:b w:val="0"/>
                <w:sz w:val="16"/>
              </w:rPr>
              <w:t>Note 3: La séquence 3 10 027 est caduque.</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Série de moyennes d'ensemble pour une certaine période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Moyenne de moyennes d'ensemble sur une certaine période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Moyenne d'ensemble accumulée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Prévision moyenne d'ensemble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Série de prévisions moyennes d'ensemble pour une certaine période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Moyenne de prévisions moyennes d'ensemble sur une certaine période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Prévision moyenne d'ensemble accumulée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Analyse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Commencement du phénomène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Heure de lancement de la radiosonde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Début de l'orbite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Fin de l'orbite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Heure du nœud ascendant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Heure d'apparition d'une saute de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Période de contrôle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Limite de temps convenue pour la réception du message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Heure nominale de transmission du message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Heure de la dernière position connue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Début du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Fin du balayage ou heure de fin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Heure d'apparition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p>
      <w:r>
        <w:rPr>
          <w:rFonts w:ascii="Verdana" w:hAnsi="Verdana"/>
          <w:b/>
          <w:sz w:val="18"/>
        </w:rPr>
        <w:t>0 08 023  Statistiques de premier ordre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 maximale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minimale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Valeur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Valeur médiane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Valeur la plus probable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Erreur absolue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Meilleure estimation de l'écart type (N-1)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Écart type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Moyenne harmonique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Erreur de vecteur de la valeur quadratique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Moyenne quadratique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14-31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Moyenne vectorielle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33-62</w:t>
            </w:r>
          </w:p>
        </w:tc>
        <w:tc>
          <w:tcPr>
            <w:tcW w:type="dxa" w:w="5046"/>
          </w:tcPr>
          <w:p>
            <w:pPr>
              <w:spacing w:before="20" w:after="20"/>
            </w:pPr>
            <w:r/>
            <w:r>
              <w:rPr>
                <w:rFonts w:ascii="Verdana" w:hAnsi="Verdana"/>
                <w:b w:val="0"/>
                <w:sz w:val="16"/>
              </w:rPr>
              <w:t>Réservés pour les besoins locaux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r>
        <w:rPr>
          <w:rFonts w:ascii="Verdana" w:hAnsi="Verdana"/>
          <w:i/>
          <w:sz w:val="14"/>
        </w:rPr>
        <w:t>Note 18: Toutes les statistiques de premier ordre sont exprimees dans les unites definies par les descripteurs de donnees d'origine.</w:t>
      </w:r>
    </w:p>
    <w:p/>
    <w:p>
      <w:r>
        <w:rPr>
          <w:rFonts w:ascii="Verdana" w:hAnsi="Verdana"/>
          <w:b/>
          <w:sz w:val="18"/>
        </w:rPr>
        <w:t>0 08 024  Statistiques sur les différences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 observée moins la valeur maximale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observée moins la valeur minimale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Valeur observée moins la valeur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Valeur observée moins la valeur médiane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Valeur observée moins la valeur la plus probable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Valeur observée moins la valeur climatologique (anomalie)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Valeur observée moins la valeur analysée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Valeur observée moins la valeur analysée initialisée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Valeur observée moins la valeur prévue</w:t>
            </w:r>
          </w:p>
        </w:tc>
        <w:tc>
          <w:tcPr>
            <w:tcW w:type="dxa" w:w="5046"/>
          </w:tcPr>
          <w:p>
            <w:pPr>
              <w:spacing w:before="20" w:after="20"/>
            </w:pPr>
            <w:r/>
            <w:r>
              <w:rPr>
                <w:rFonts w:ascii="Verdana" w:hAnsi="Verdana"/>
                <w:b w:val="0"/>
                <w:sz w:val="16"/>
              </w:rPr>
              <w:t>Note 93: Des axes xyz situés à gauche ont été choisis pour le descripteur 0 10 031.</w:t>
            </w:r>
          </w:p>
        </w:tc>
      </w:tr>
      <w:tr>
        <w:trPr>
          <w:cantSplit/>
        </w:trPr>
        <w:tc>
          <w:tcPr>
            <w:tcW w:type="dxa" w:w="5046"/>
          </w:tcPr>
          <w:p>
            <w:pPr>
              <w:spacing w:before="20" w:after="20"/>
            </w:pPr>
            <w:r/>
            <w:r>
              <w:rPr>
                <w:rFonts w:ascii="Verdana" w:hAnsi="Verdana"/>
                <w:b w:val="0"/>
                <w:sz w:val="16"/>
              </w:rPr>
              <w:t>15-20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Valeur observée moins la valeur interpolée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Valeur observée moins la valeur calculée de façon hydrostatique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32-62</w:t>
            </w:r>
          </w:p>
        </w:tc>
        <w:tc>
          <w:tcPr>
            <w:tcW w:type="dxa" w:w="5046"/>
          </w:tcPr>
          <w:p>
            <w:pPr>
              <w:spacing w:before="20" w:after="20"/>
            </w:pPr>
            <w:r/>
            <w:r>
              <w:rPr>
                <w:rFonts w:ascii="Verdana" w:hAnsi="Verdana"/>
                <w:b w:val="0"/>
                <w:sz w:val="16"/>
              </w:rPr>
              <w:t>Réservés pour les besoins locaux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p>
      <w:r>
        <w:rPr>
          <w:rFonts w:ascii="Verdana" w:hAnsi="Verdana"/>
          <w:b/>
          <w:sz w:val="18"/>
        </w:rPr>
        <w:t>0 08 025  Décalage dans le temps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Temps universel coordonné (UTC) moins heure standard locale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Heure standard locale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Temps universel coordonné (UTC) moins horloge de satellite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Décalage dans le temps à partir de l'extrémité du segment traité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08 026  Caractéristique matricielle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Matrice de noyaux moyens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Matrice de corrélation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Racine carrée de la matrice triangulaire inférieure de corrélation (L dans C=LLT)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Inverse de la racine carrée de la matrice triangulaire inférieure de corrélation (L-1)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43-62</w:t>
            </w:r>
          </w:p>
        </w:tc>
        <w:tc>
          <w:tcPr>
            <w:tcW w:type="dxa" w:w="5046"/>
          </w:tcPr>
          <w:p>
            <w:pPr>
              <w:spacing w:before="20" w:after="20"/>
            </w:pPr>
            <w:r/>
            <w:r>
              <w:rPr>
                <w:rFonts w:ascii="Verdana" w:hAnsi="Verdana"/>
                <w:b w:val="0"/>
                <w:sz w:val="16"/>
              </w:rPr>
              <w:t>En réserve pour un usage local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 ou caractéristique non définie</w:t>
            </w:r>
          </w:p>
        </w:tc>
        <w:tc>
          <w:tcPr>
            <w:tcW w:type="dxa" w:w="5046"/>
          </w:tcPr>
          <w:p>
            <w:pPr>
              <w:spacing w:before="20" w:after="20"/>
            </w:pPr>
            <w:r/>
            <w:r>
              <w:rPr>
                <w:rFonts w:ascii="Verdana" w:hAnsi="Verdana"/>
                <w:b w:val="0"/>
                <w:sz w:val="16"/>
              </w:rPr>
            </w:r>
          </w:p>
        </w:tc>
      </w:tr>
    </w:tbl>
    <w:p/>
    <w:p>
      <w:r>
        <w:rPr>
          <w:rFonts w:ascii="Verdana" w:hAnsi="Verdana"/>
          <w:b/>
          <w:sz w:val="18"/>
        </w:rPr>
        <w:t>0 08 029  Type de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Pleine mer ou mer semi-fermée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Mer fermée ou lac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Glace continentale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Terre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Basse terre (sous le niveau de la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Mélange de terre et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Mélange de terre et de basse terre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Cours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Lac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Glacier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Sol urbain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Sol rural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Sol suburbain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Glace de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19-254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08 032  Mode de fonctionnement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Exploitation courante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Déclenchement événementiel (onde de tempête)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Déclenchement événementiel (tsunami)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Déclenchement manuel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Essai (installation)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Essai (maintenance)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08 033  Méthode de dérivation du pourcentage de confiance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Pourcentage de confiance calculé à partir de l'élément nuage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Pourcentage de confiance calculé à partir de l'écart type de la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Pourcentage de confiance calculé à partir de la probabilité de contamination des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Pourcentage de confiance calculé à partir de la normalité de la distribution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5-126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08 034  Indicateur de la mesure de la température ou de la salinité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Échantillonnage secondaire: mesure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Échantillonnage secondaire: mesure discontinue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Échantillonnage secondaire: mesure mixte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Échantillonnage près de la surface: mesure moyenne, par pompage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Échantillonnage près de la surface: mesure moyenne, sans pompage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Échantillonnage près de la surface: mesure discontinue, par pompage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Échantillonnage près de la surface: mesure discontinue, sans pompage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Échantillonnage près de la surface: mesure mixte, par pompage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Échantillonnage près de la surface: mesure mixte, sans pompage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08 035  Type d'exercice de contrôle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Mondial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Régional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National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Spécial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Bilatéral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08 036  Type de centre ou de station effectuant le contrôle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Secrétariat de l'OMM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CMRS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CMN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Site d'observation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08 037  Caractéristique du calage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Appareil de contrôle du fabricant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Abri météorologique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Banc de contrôle de l'humidité, type GRUAN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08 038  Caractéristique des données instrumentales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Données instrumentales vérifiées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Données instrumentales de référence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2-254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08 039  Caractéristique temporelle (prévision aéronautique)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Heure de transmission de la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Heure de début de période de la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Heure de fin de période de la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Heure à laquelle la température maximale est attendue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Heure à laquelle la température minimale est attendue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Heure de début du changement de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Heure de fin du changement de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08 040  Caractéristique du niveau de vol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Échantillon de données de haute résolution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20 hPa de la surface au plus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Pression inférieure à 10 hPa (c.-à-d., 9, 8, 7, etc.), quand aucune autre raison ne s'applique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Niveau de pression de base pour l'indice de stabilité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Début des températures douteuses, données sur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Début des données manquantes (tous les éléments)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Début des données manquantes sur l'humidité relative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Début des données manquantes sur la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Niveau le plus élevé atteint avant que le ballon descende pour cause de givrage ou de turbulence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Fin des températures douteuses, données sur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Fin des données manquantes (tous les éléments)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Fin des données manquantes sur l'humidité relative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Fin des données manquantes sur la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Isotherme(s) 0 °C pour RADAT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Niveau de pression standard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Niveau ajouté par l'opérateur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Niveau supprimé par l'opérateur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Nouvelle ascension du ballon au-delà du niveau d'ascension le plus élevé atteint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Niveau significatif - humidité relative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Dernier niveau sélectionné pour l'humidité relative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Niveau de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Niveau significatif -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Niveau obligatoire -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Niveau de fin de vol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Tropopause(s)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Message d'aéronef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Niveau interpolé (établi)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Niveau obligatoire -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Niveau significatif -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Niveau du vent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Niveau vent à valeur ascendante (fixé au plan régional)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Niveau altitude à valeur ascendante (établi)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Dernier niveau -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Pression de 100 à 110 hPa, quand aucune autre raison ne s'applique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Isotherme 0 °C inférieur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Isotherme 0 °C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Limite inférieure exprimée en niveau de vol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Limite supérieure exprimée en niveau de vol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Sommet du sondage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Base du sondage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Niveau thermodynamique significatif (inversion)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Niveau significatif - humidité relative (selon les critères du NCDC)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Niveau significatif - température (selon les critères du NCDC)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Début des données manquantes sur le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Fin des données manquantes sur le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45-59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Isotache de 80 nœuds au-dessus du courant-jet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Isotache de 80 nœuds au-dessous du courant-jet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08 041  Caractéristique des données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Site principal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Site d'observation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Date de fabrication du ballon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Point de lâcher du ballon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Observation de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Décalage entre l'observation de surface et le point de lâcher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Observation au niveau de vol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Point de terminaison du niveau de vol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Plafond et visibilité IFR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Obscurcissement des montagnes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Vent de surface fort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Isotherme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Zéros multiples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Date de fabrication de l'instrument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08 042  Caractéristique étendue correspondant à des données de sondage vertical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Niveau standard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Niveau de la tropopause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Niveau de vent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Niveau significatif du point de vue de la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Niveau significatif du point de vue de l'humidité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Niveau significatif du point de vue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Début des valeurs manquantes pour la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Fin des valeurs manquantes pour la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Début des valeurs manquantes pour l'humidité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Fin des valeurs manquantes pour l'humidité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Début des valeurs manquantes pour le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Fin des valeurs manquantes pour le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Sommet du sondage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Niveau déterminé par décision régionale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Isotherme 0 °C</w:t>
            </w:r>
          </w:p>
        </w:tc>
        <w:tc>
          <w:tcPr>
            <w:tcW w:type="dxa" w:w="5046"/>
          </w:tcPr>
          <w:p>
            <w:pPr>
              <w:spacing w:before="20" w:after="20"/>
            </w:pPr>
            <w:r/>
            <w:r>
              <w:rPr>
                <w:rFonts w:ascii="Verdana" w:hAnsi="Verdana"/>
                <w:b w:val="0"/>
                <w:sz w:val="16"/>
              </w:rPr>
              <w:t>Note 41: Une valeur de –0,001 pour l’épaisseur de neige fraîche (0 13 118) avant mise à l’échelle (–1 après mise à l’échelle ou en CREX) indique qu’il y a peu de neige (moins de 0,0005 m). Une valeur de –0,002 avant mise à l’échelle (–2 après mise à l’échelle ou en CREX) indique une «couche de neige non continue».</w:t>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Niveau de pression indiqué à l'origine par l'altitude en tant que coordonnée verticale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08 043  Type de constituants chimiques ou physiques de l'atmosphère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028"/>
        <w:gridCol w:w="3028"/>
        <w:gridCol w:w="3028"/>
        <w:gridCol w:w="3028"/>
        <w:gridCol w:w="3028"/>
      </w:tblGrid>
      <w:tr>
        <w:tc>
          <w:tcPr>
            <w:tcW w:type="dxa" w:w="1134"/>
            <w:shd w:val="clear" w:color="auto" w:fill="D9D9D9"/>
          </w:tcPr>
          <w:p>
            <w:pPr>
              <w:spacing w:before="20" w:after="20"/>
            </w:pPr>
            <w:r/>
            <w:r>
              <w:rPr>
                <w:rFonts w:ascii="Verdana" w:hAnsi="Verdana"/>
                <w:b w:val="0"/>
                <w:sz w:val="16"/>
              </w:rPr>
              <w:t>CHIFFRE DU CODE</w:t>
            </w:r>
          </w:p>
        </w:tc>
        <w:tc>
          <w:tcPr>
            <w:tcW w:type="dxa" w:w="3028"/>
            <w:shd w:val="clear" w:color="auto" w:fill="D9D9D9"/>
          </w:tcPr>
          <w:p>
            <w:pPr>
              <w:spacing w:before="20" w:after="20"/>
            </w:pPr>
            <w:r/>
            <w:r>
              <w:rPr>
                <w:rFonts w:ascii="Verdana" w:hAnsi="Verdana"/>
                <w:b w:val="0"/>
                <w:sz w:val="16"/>
              </w:rPr>
              <w:t>SIGNIFICATION</w:t>
            </w:r>
          </w:p>
        </w:tc>
        <w:tc>
          <w:tcPr>
            <w:tcW w:type="dxa" w:w="3028"/>
            <w:shd w:val="clear" w:color="auto" w:fill="D9D9D9"/>
          </w:tcPr>
          <w:p>
            <w:pPr>
              <w:spacing w:before="20" w:after="20"/>
            </w:pPr>
            <w:r/>
            <w:r>
              <w:rPr>
                <w:rFonts w:ascii="Verdana" w:hAnsi="Verdana"/>
                <w:b w:val="0"/>
                <w:sz w:val="16"/>
              </w:rPr>
              <w:t>SOUS 1</w:t>
            </w:r>
          </w:p>
        </w:tc>
        <w:tc>
          <w:tcPr>
            <w:tcW w:type="dxa" w:w="3028"/>
            <w:shd w:val="clear" w:color="auto" w:fill="D9D9D9"/>
          </w:tcPr>
          <w:p>
            <w:pPr>
              <w:spacing w:before="20" w:after="20"/>
            </w:pPr>
            <w:r/>
            <w:r>
              <w:rPr>
                <w:rFonts w:ascii="Verdana" w:hAnsi="Verdana"/>
                <w:b w:val="0"/>
                <w:sz w:val="16"/>
              </w:rPr>
              <w:t>SOUS 2</w:t>
            </w:r>
          </w:p>
        </w:tc>
        <w:tc>
          <w:tcPr>
            <w:tcW w:type="dxa" w:w="3028"/>
            <w:shd w:val="clear" w:color="auto" w:fill="D9D9D9"/>
          </w:tcPr>
          <w:p>
            <w:pPr>
              <w:spacing w:before="20" w:after="20"/>
            </w:pPr>
            <w:r/>
            <w:r>
              <w:rPr>
                <w:rFonts w:ascii="Verdana" w:hAnsi="Verdana"/>
                <w:b w:val="0"/>
                <w:sz w:val="16"/>
              </w:rPr>
              <w:t>NOTE</w:t>
            </w:r>
          </w:p>
        </w:tc>
      </w:tr>
      <w:tr>
        <w:trPr>
          <w:cantSplit/>
        </w:trPr>
        <w:tc>
          <w:tcPr>
            <w:tcW w:type="dxa" w:w="3028"/>
          </w:tcPr>
          <w:p>
            <w:pPr>
              <w:spacing w:before="20" w:after="20"/>
            </w:pPr>
            <w:r/>
            <w:r>
              <w:rPr>
                <w:rFonts w:ascii="Verdana" w:hAnsi="Verdana"/>
                <w:b w:val="0"/>
                <w:sz w:val="16"/>
              </w:rPr>
              <w:t>0</w:t>
            </w:r>
          </w:p>
        </w:tc>
        <w:tc>
          <w:tcPr>
            <w:tcW w:type="dxa" w:w="3028"/>
          </w:tcPr>
          <w:p>
            <w:pPr>
              <w:spacing w:before="20" w:after="20"/>
            </w:pPr>
            <w:r/>
            <w:r>
              <w:rPr>
                <w:rFonts w:ascii="Verdana" w:hAnsi="Verdana"/>
                <w:b w:val="0"/>
                <w:sz w:val="16"/>
              </w:rPr>
              <w:t>Ozone</w:t>
            </w:r>
          </w:p>
        </w:tc>
        <w:tc>
          <w:tcPr>
            <w:tcW w:type="dxa" w:w="3028"/>
          </w:tcPr>
          <w:p>
            <w:pPr>
              <w:spacing w:before="20" w:after="20"/>
            </w:pPr>
            <w:r/>
            <w:r>
              <w:rPr>
                <w:rFonts w:ascii="Verdana" w:hAnsi="Verdana"/>
                <w:b w:val="0"/>
                <w:sz w:val="16"/>
              </w:rPr>
              <w:t>O3</w:t>
            </w:r>
          </w:p>
        </w:tc>
        <w:tc>
          <w:tcPr>
            <w:tcW w:type="dxa" w:w="3028"/>
          </w:tcPr>
          <w:p>
            <w:pPr>
              <w:spacing w:before="20" w:after="20"/>
            </w:pPr>
            <w:r/>
            <w:r>
              <w:rPr>
                <w:rFonts w:ascii="Verdana" w:hAnsi="Verdana"/>
                <w:b w:val="0"/>
                <w:sz w:val="16"/>
              </w:rPr>
              <w:t>10028-15-6</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w:t>
            </w:r>
          </w:p>
        </w:tc>
        <w:tc>
          <w:tcPr>
            <w:tcW w:type="dxa" w:w="3028"/>
          </w:tcPr>
          <w:p>
            <w:pPr>
              <w:spacing w:before="20" w:after="20"/>
            </w:pPr>
            <w:r/>
            <w:r>
              <w:rPr>
                <w:rFonts w:ascii="Verdana" w:hAnsi="Verdana"/>
                <w:b w:val="0"/>
                <w:sz w:val="16"/>
              </w:rPr>
              <w:t>Vapeur d'eau</w:t>
            </w:r>
          </w:p>
        </w:tc>
        <w:tc>
          <w:tcPr>
            <w:tcW w:type="dxa" w:w="3028"/>
          </w:tcPr>
          <w:p>
            <w:pPr>
              <w:spacing w:before="20" w:after="20"/>
            </w:pPr>
            <w:r/>
            <w:r>
              <w:rPr>
                <w:rFonts w:ascii="Verdana" w:hAnsi="Verdana"/>
                <w:b w:val="0"/>
                <w:sz w:val="16"/>
              </w:rPr>
              <w:t>H2O</w:t>
            </w:r>
          </w:p>
        </w:tc>
        <w:tc>
          <w:tcPr>
            <w:tcW w:type="dxa" w:w="3028"/>
          </w:tcPr>
          <w:p>
            <w:pPr>
              <w:spacing w:before="20" w:after="20"/>
            </w:pPr>
            <w:r/>
            <w:r>
              <w:rPr>
                <w:rFonts w:ascii="Verdana" w:hAnsi="Verdana"/>
                <w:b w:val="0"/>
                <w:sz w:val="16"/>
              </w:rPr>
              <w:t>7732-18-5</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w:t>
            </w:r>
          </w:p>
        </w:tc>
        <w:tc>
          <w:tcPr>
            <w:tcW w:type="dxa" w:w="3028"/>
          </w:tcPr>
          <w:p>
            <w:pPr>
              <w:spacing w:before="20" w:after="20"/>
            </w:pPr>
            <w:r/>
            <w:r>
              <w:rPr>
                <w:rFonts w:ascii="Verdana" w:hAnsi="Verdana"/>
                <w:b w:val="0"/>
                <w:sz w:val="16"/>
              </w:rPr>
              <w:t>Méthane</w:t>
            </w:r>
          </w:p>
        </w:tc>
        <w:tc>
          <w:tcPr>
            <w:tcW w:type="dxa" w:w="3028"/>
          </w:tcPr>
          <w:p>
            <w:pPr>
              <w:spacing w:before="20" w:after="20"/>
            </w:pPr>
            <w:r/>
            <w:r>
              <w:rPr>
                <w:rFonts w:ascii="Verdana" w:hAnsi="Verdana"/>
                <w:b w:val="0"/>
                <w:sz w:val="16"/>
              </w:rPr>
              <w:t>CH4</w:t>
            </w:r>
          </w:p>
        </w:tc>
        <w:tc>
          <w:tcPr>
            <w:tcW w:type="dxa" w:w="3028"/>
          </w:tcPr>
          <w:p>
            <w:pPr>
              <w:spacing w:before="20" w:after="20"/>
            </w:pPr>
            <w:r/>
            <w:r>
              <w:rPr>
                <w:rFonts w:ascii="Verdana" w:hAnsi="Verdana"/>
                <w:b w:val="0"/>
                <w:sz w:val="16"/>
              </w:rPr>
              <w:t>74-82-8</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w:t>
            </w:r>
          </w:p>
        </w:tc>
        <w:tc>
          <w:tcPr>
            <w:tcW w:type="dxa" w:w="3028"/>
          </w:tcPr>
          <w:p>
            <w:pPr>
              <w:spacing w:before="20" w:after="20"/>
            </w:pPr>
            <w:r/>
            <w:r>
              <w:rPr>
                <w:rFonts w:ascii="Verdana" w:hAnsi="Verdana"/>
                <w:b w:val="0"/>
                <w:sz w:val="16"/>
              </w:rPr>
              <w:t>Dioxyde de carbone</w:t>
            </w:r>
          </w:p>
        </w:tc>
        <w:tc>
          <w:tcPr>
            <w:tcW w:type="dxa" w:w="3028"/>
          </w:tcPr>
          <w:p>
            <w:pPr>
              <w:spacing w:before="20" w:after="20"/>
            </w:pPr>
            <w:r/>
            <w:r>
              <w:rPr>
                <w:rFonts w:ascii="Verdana" w:hAnsi="Verdana"/>
                <w:b w:val="0"/>
                <w:sz w:val="16"/>
              </w:rPr>
              <w:t>CO2</w:t>
            </w:r>
          </w:p>
        </w:tc>
        <w:tc>
          <w:tcPr>
            <w:tcW w:type="dxa" w:w="3028"/>
          </w:tcPr>
          <w:p>
            <w:pPr>
              <w:spacing w:before="20" w:after="20"/>
            </w:pPr>
            <w:r/>
            <w:r>
              <w:rPr>
                <w:rFonts w:ascii="Verdana" w:hAnsi="Verdana"/>
                <w:b w:val="0"/>
                <w:sz w:val="16"/>
              </w:rPr>
              <w:t>124-38-9</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4</w:t>
            </w:r>
          </w:p>
        </w:tc>
        <w:tc>
          <w:tcPr>
            <w:tcW w:type="dxa" w:w="3028"/>
          </w:tcPr>
          <w:p>
            <w:pPr>
              <w:spacing w:before="20" w:after="20"/>
            </w:pPr>
            <w:r/>
            <w:r>
              <w:rPr>
                <w:rFonts w:ascii="Verdana" w:hAnsi="Verdana"/>
                <w:b w:val="0"/>
                <w:sz w:val="16"/>
              </w:rPr>
              <w:t>Monoxyde de carbone</w:t>
            </w:r>
          </w:p>
        </w:tc>
        <w:tc>
          <w:tcPr>
            <w:tcW w:type="dxa" w:w="3028"/>
          </w:tcPr>
          <w:p>
            <w:pPr>
              <w:spacing w:before="20" w:after="20"/>
            </w:pPr>
            <w:r/>
            <w:r>
              <w:rPr>
                <w:rFonts w:ascii="Verdana" w:hAnsi="Verdana"/>
                <w:b w:val="0"/>
                <w:sz w:val="16"/>
              </w:rPr>
              <w:t>CO</w:t>
            </w:r>
          </w:p>
        </w:tc>
        <w:tc>
          <w:tcPr>
            <w:tcW w:type="dxa" w:w="3028"/>
          </w:tcPr>
          <w:p>
            <w:pPr>
              <w:spacing w:before="20" w:after="20"/>
            </w:pPr>
            <w:r/>
            <w:r>
              <w:rPr>
                <w:rFonts w:ascii="Verdana" w:hAnsi="Verdana"/>
                <w:b w:val="0"/>
                <w:sz w:val="16"/>
              </w:rPr>
              <w:t>630-08-0</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5</w:t>
            </w:r>
          </w:p>
        </w:tc>
        <w:tc>
          <w:tcPr>
            <w:tcW w:type="dxa" w:w="3028"/>
          </w:tcPr>
          <w:p>
            <w:pPr>
              <w:spacing w:before="20" w:after="20"/>
            </w:pPr>
            <w:r/>
            <w:r>
              <w:rPr>
                <w:rFonts w:ascii="Verdana" w:hAnsi="Verdana"/>
                <w:b w:val="0"/>
                <w:sz w:val="16"/>
              </w:rPr>
              <w:t>Dioxyde d'azote</w:t>
            </w:r>
          </w:p>
        </w:tc>
        <w:tc>
          <w:tcPr>
            <w:tcW w:type="dxa" w:w="3028"/>
          </w:tcPr>
          <w:p>
            <w:pPr>
              <w:spacing w:before="20" w:after="20"/>
            </w:pPr>
            <w:r/>
            <w:r>
              <w:rPr>
                <w:rFonts w:ascii="Verdana" w:hAnsi="Verdana"/>
                <w:b w:val="0"/>
                <w:sz w:val="16"/>
              </w:rPr>
              <w:t>NO2</w:t>
            </w:r>
          </w:p>
        </w:tc>
        <w:tc>
          <w:tcPr>
            <w:tcW w:type="dxa" w:w="3028"/>
          </w:tcPr>
          <w:p>
            <w:pPr>
              <w:spacing w:before="20" w:after="20"/>
            </w:pPr>
            <w:r/>
            <w:r>
              <w:rPr>
                <w:rFonts w:ascii="Verdana" w:hAnsi="Verdana"/>
                <w:b w:val="0"/>
                <w:sz w:val="16"/>
              </w:rPr>
              <w:t>10102-44-0</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6</w:t>
            </w:r>
          </w:p>
        </w:tc>
        <w:tc>
          <w:tcPr>
            <w:tcW w:type="dxa" w:w="3028"/>
          </w:tcPr>
          <w:p>
            <w:pPr>
              <w:spacing w:before="20" w:after="20"/>
            </w:pPr>
            <w:r/>
            <w:r>
              <w:rPr>
                <w:rFonts w:ascii="Verdana" w:hAnsi="Verdana"/>
                <w:b w:val="0"/>
                <w:sz w:val="16"/>
              </w:rPr>
              <w:t>Protoxyde d'azote</w:t>
            </w:r>
          </w:p>
        </w:tc>
        <w:tc>
          <w:tcPr>
            <w:tcW w:type="dxa" w:w="3028"/>
          </w:tcPr>
          <w:p>
            <w:pPr>
              <w:spacing w:before="20" w:after="20"/>
            </w:pPr>
            <w:r/>
            <w:r>
              <w:rPr>
                <w:rFonts w:ascii="Verdana" w:hAnsi="Verdana"/>
                <w:b w:val="0"/>
                <w:sz w:val="16"/>
              </w:rPr>
              <w:t>N2O</w:t>
            </w:r>
          </w:p>
        </w:tc>
        <w:tc>
          <w:tcPr>
            <w:tcW w:type="dxa" w:w="3028"/>
          </w:tcPr>
          <w:p>
            <w:pPr>
              <w:spacing w:before="20" w:after="20"/>
            </w:pPr>
            <w:r/>
            <w:r>
              <w:rPr>
                <w:rFonts w:ascii="Verdana" w:hAnsi="Verdana"/>
                <w:b w:val="0"/>
                <w:sz w:val="16"/>
              </w:rPr>
              <w:t>10024-97-2</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7</w:t>
            </w:r>
          </w:p>
        </w:tc>
        <w:tc>
          <w:tcPr>
            <w:tcW w:type="dxa" w:w="3028"/>
          </w:tcPr>
          <w:p>
            <w:pPr>
              <w:spacing w:before="20" w:after="20"/>
            </w:pPr>
            <w:r/>
            <w:r>
              <w:rPr>
                <w:rFonts w:ascii="Verdana" w:hAnsi="Verdana"/>
                <w:b w:val="0"/>
                <w:sz w:val="16"/>
              </w:rPr>
              <w:t>Formaldéhyde</w:t>
            </w:r>
          </w:p>
        </w:tc>
        <w:tc>
          <w:tcPr>
            <w:tcW w:type="dxa" w:w="3028"/>
          </w:tcPr>
          <w:p>
            <w:pPr>
              <w:spacing w:before="20" w:after="20"/>
            </w:pPr>
            <w:r/>
            <w:r>
              <w:rPr>
                <w:rFonts w:ascii="Verdana" w:hAnsi="Verdana"/>
                <w:b w:val="0"/>
                <w:sz w:val="16"/>
              </w:rPr>
              <w:t>HCHO</w:t>
            </w:r>
          </w:p>
        </w:tc>
        <w:tc>
          <w:tcPr>
            <w:tcW w:type="dxa" w:w="3028"/>
          </w:tcPr>
          <w:p>
            <w:pPr>
              <w:spacing w:before="20" w:after="20"/>
            </w:pPr>
            <w:r/>
            <w:r>
              <w:rPr>
                <w:rFonts w:ascii="Verdana" w:hAnsi="Verdana"/>
                <w:b w:val="0"/>
                <w:sz w:val="16"/>
              </w:rPr>
              <w:t>50-00-0</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8</w:t>
            </w:r>
          </w:p>
        </w:tc>
        <w:tc>
          <w:tcPr>
            <w:tcW w:type="dxa" w:w="3028"/>
          </w:tcPr>
          <w:p>
            <w:pPr>
              <w:spacing w:before="20" w:after="20"/>
            </w:pPr>
            <w:r/>
            <w:r>
              <w:rPr>
                <w:rFonts w:ascii="Verdana" w:hAnsi="Verdana"/>
                <w:b w:val="0"/>
                <w:sz w:val="16"/>
              </w:rPr>
              <w:t>Dioxyde de soufre</w:t>
            </w:r>
          </w:p>
        </w:tc>
        <w:tc>
          <w:tcPr>
            <w:tcW w:type="dxa" w:w="3028"/>
          </w:tcPr>
          <w:p>
            <w:pPr>
              <w:spacing w:before="20" w:after="20"/>
            </w:pPr>
            <w:r/>
            <w:r>
              <w:rPr>
                <w:rFonts w:ascii="Verdana" w:hAnsi="Verdana"/>
                <w:b w:val="0"/>
                <w:sz w:val="16"/>
              </w:rPr>
              <w:t>SO2</w:t>
            </w:r>
          </w:p>
        </w:tc>
        <w:tc>
          <w:tcPr>
            <w:tcW w:type="dxa" w:w="3028"/>
          </w:tcPr>
          <w:p>
            <w:pPr>
              <w:spacing w:before="20" w:after="20"/>
            </w:pPr>
            <w:r/>
            <w:r>
              <w:rPr>
                <w:rFonts w:ascii="Verdana" w:hAnsi="Verdana"/>
                <w:b w:val="0"/>
                <w:sz w:val="16"/>
              </w:rPr>
              <w:t>7446-09-5</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9-24</w:t>
            </w:r>
          </w:p>
        </w:tc>
        <w:tc>
          <w:tcPr>
            <w:tcW w:type="dxa" w:w="3028"/>
          </w:tcPr>
          <w:p>
            <w:pPr>
              <w:spacing w:before="20" w:after="20"/>
            </w:pPr>
            <w:r/>
            <w:r>
              <w:rPr>
                <w:rFonts w:ascii="Verdana" w:hAnsi="Verdana"/>
                <w:b w:val="0"/>
                <w:sz w:val="16"/>
              </w:rPr>
              <w:t>En réserve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25</w:t>
            </w:r>
          </w:p>
        </w:tc>
        <w:tc>
          <w:tcPr>
            <w:tcW w:type="dxa" w:w="3028"/>
          </w:tcPr>
          <w:p>
            <w:pPr>
              <w:spacing w:before="20" w:after="20"/>
            </w:pPr>
            <w:r/>
            <w:r>
              <w:rPr>
                <w:rFonts w:ascii="Verdana" w:hAnsi="Verdana"/>
                <w:b w:val="0"/>
                <w:sz w:val="16"/>
              </w:rPr>
              <w:t>Particule &lt; 1,0 micron</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26</w:t>
            </w:r>
          </w:p>
        </w:tc>
        <w:tc>
          <w:tcPr>
            <w:tcW w:type="dxa" w:w="3028"/>
          </w:tcPr>
          <w:p>
            <w:pPr>
              <w:spacing w:before="20" w:after="20"/>
            </w:pPr>
            <w:r/>
            <w:r>
              <w:rPr>
                <w:rFonts w:ascii="Verdana" w:hAnsi="Verdana"/>
                <w:b w:val="0"/>
                <w:sz w:val="16"/>
              </w:rPr>
              <w:t>Particule &lt; 2,5 microns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27</w:t>
            </w:r>
          </w:p>
        </w:tc>
        <w:tc>
          <w:tcPr>
            <w:tcW w:type="dxa" w:w="3028"/>
          </w:tcPr>
          <w:p>
            <w:pPr>
              <w:spacing w:before="20" w:after="20"/>
            </w:pPr>
            <w:r/>
            <w:r>
              <w:rPr>
                <w:rFonts w:ascii="Verdana" w:hAnsi="Verdana"/>
                <w:b w:val="0"/>
                <w:sz w:val="16"/>
              </w:rPr>
              <w:t>Particule &lt; 10 microns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28</w:t>
            </w:r>
          </w:p>
        </w:tc>
        <w:tc>
          <w:tcPr>
            <w:tcW w:type="dxa" w:w="3028"/>
          </w:tcPr>
          <w:p>
            <w:pPr>
              <w:spacing w:before="20" w:after="20"/>
            </w:pPr>
            <w:r/>
            <w:r>
              <w:rPr>
                <w:rFonts w:ascii="Verdana" w:hAnsi="Verdana"/>
                <w:b w:val="0"/>
                <w:sz w:val="16"/>
              </w:rPr>
              <w:t>Aérosols (de toute nature)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29</w:t>
            </w:r>
          </w:p>
        </w:tc>
        <w:tc>
          <w:tcPr>
            <w:tcW w:type="dxa" w:w="3028"/>
          </w:tcPr>
          <w:p>
            <w:pPr>
              <w:spacing w:before="20" w:after="20"/>
            </w:pPr>
            <w:r/>
            <w:r>
              <w:rPr>
                <w:rFonts w:ascii="Verdana" w:hAnsi="Verdana"/>
                <w:b w:val="0"/>
                <w:sz w:val="16"/>
              </w:rPr>
              <w:t>Fumée (de toute nature)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30</w:t>
            </w:r>
          </w:p>
        </w:tc>
        <w:tc>
          <w:tcPr>
            <w:tcW w:type="dxa" w:w="3028"/>
          </w:tcPr>
          <w:p>
            <w:pPr>
              <w:spacing w:before="20" w:after="20"/>
            </w:pPr>
            <w:r/>
            <w:r>
              <w:rPr>
                <w:rFonts w:ascii="Verdana" w:hAnsi="Verdana"/>
                <w:b w:val="0"/>
                <w:sz w:val="16"/>
              </w:rPr>
              <w:t>Matière crustale (poussière de toute nature)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31</w:t>
            </w:r>
          </w:p>
        </w:tc>
        <w:tc>
          <w:tcPr>
            <w:tcW w:type="dxa" w:w="3028"/>
          </w:tcPr>
          <w:p>
            <w:pPr>
              <w:spacing w:before="20" w:after="20"/>
            </w:pPr>
            <w:r/>
            <w:r>
              <w:rPr>
                <w:rFonts w:ascii="Verdana" w:hAnsi="Verdana"/>
                <w:b w:val="0"/>
                <w:sz w:val="16"/>
              </w:rPr>
              <w:t>Cendres volcaniques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32-200</w:t>
            </w:r>
          </w:p>
        </w:tc>
        <w:tc>
          <w:tcPr>
            <w:tcW w:type="dxa" w:w="3028"/>
          </w:tcPr>
          <w:p>
            <w:pPr>
              <w:spacing w:before="20" w:after="20"/>
            </w:pPr>
            <w:r/>
            <w:r>
              <w:rPr>
                <w:rFonts w:ascii="Verdana" w:hAnsi="Verdana"/>
                <w:b w:val="0"/>
                <w:sz w:val="16"/>
              </w:rPr>
              <w:t>En réserve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201-254</w:t>
            </w:r>
          </w:p>
        </w:tc>
        <w:tc>
          <w:tcPr>
            <w:tcW w:type="dxa" w:w="3028"/>
          </w:tcPr>
          <w:p>
            <w:pPr>
              <w:spacing w:before="20" w:after="20"/>
            </w:pPr>
            <w:r/>
            <w:r>
              <w:rPr>
                <w:rFonts w:ascii="Verdana" w:hAnsi="Verdana"/>
                <w:b w:val="0"/>
                <w:sz w:val="16"/>
              </w:rPr>
              <w:t>En réserve pour un usage local</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255</w:t>
            </w:r>
          </w:p>
        </w:tc>
        <w:tc>
          <w:tcPr>
            <w:tcW w:type="dxa" w:w="3028"/>
          </w:tcPr>
          <w:p>
            <w:pPr>
              <w:spacing w:before="20" w:after="20"/>
            </w:pPr>
            <w:r/>
            <w:r>
              <w:rPr>
                <w:rFonts w:ascii="Verdana" w:hAnsi="Verdana"/>
                <w:b w:val="0"/>
                <w:sz w:val="16"/>
              </w:rPr>
              <w:t>Valeur manquante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bl>
    <w:p>
      <w:r>
        <w:rPr>
          <w:rFonts w:ascii="Verdana" w:hAnsi="Verdana"/>
          <w:i/>
          <w:sz w:val="14"/>
        </w:rPr>
        <w:t>Note 79: La derniere colonne de la table indique le numero d’enregistrement correspondant emis par le Chemical Abstracts Service (CAS) de l’American Chemical Society.</w:t>
      </w:r>
    </w:p>
    <w:p/>
    <w:p>
      <w:r>
        <w:rPr>
          <w:rFonts w:ascii="Verdana" w:hAnsi="Verdana"/>
          <w:b/>
          <w:sz w:val="18"/>
        </w:rPr>
        <w:t>0 08 050  Identificateur pour le nombre de valeurs manquantes dans le calcul des statistiques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Température extrême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Tension de vapeur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Durée d'insolation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Température maximale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Température minimale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08 051  Identificateur pour le nombre de valeurs manquantes dans le calcul des statistiques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Température extrême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Pression de vapeur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Précipitation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Durée d'insolation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08 052  Condition pour laquelle le nombre de jours d'occurrence est indiqué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Vitesse moyenne du vent observée ou enregistrée pour une période de 10 minutes égale ou supérieure à 10 m s-1 ou 20 nœuds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Vitesse moyenne du vent observée ou enregistrée pour une période de 10 minutes égale ou supérieure à 20 m s-1 ou 40 nœuds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Vitesse moyenne du vent observée ou enregistrée pour une période de 10 minutes égale ou supérieure à 30 m s-1 ou 60 nœuds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Température maximale inférieure à 273,15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Température maximale égale ou supérieure à 298,15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Température maximale égale ou supérieure à 303,15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Température maximale égale ou supérieure à 308,15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Température maximale égale ou supérieure à 313,15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Température minimale inférieure à 273,15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Température maximale égale ou supérieure à 273,15 K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Précipitations égales ou supérieures à 1,0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Précipitations égales ou supérieures à 5,0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Précipitations égales ou supérieures à 10,0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Précipitations égales ou supérieures à 50,0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Précipitations égales ou supérieures à 100,0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Précipitations égales ou supérieures à 150,0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Hauteur de la couche de neige supérieure à 0,00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Hauteur de la couche de neige supérieure à 0,01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Hauteur de la couche de neige supérieure à 0,10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Hauteur de la couche de neige supérieure à 0,50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Visibilité horizontale inférieure à 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Visibilité horizontale inférieure à 100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Visibilité horizontale inférieure à 1000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Grêle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Orage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08 053  Identificateur du jour d'occurrence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Valeur obtenue un jour seulement dans le mois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Valeur obtenue plus d'un jour dans le mois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08 054  Identificateur de la vitesse du vent ou des rafales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vitesse du vent ou des rafales est conforme aux indications transmises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vitesse du vent est supérieure aux indications transmises (P dans METAR/TAF/SPECI)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08 060  Signification du mode de balayage de l'échantillon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Distance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Azimut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Nord/sud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Est/ouest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08 065  Indicateur de reflet solaire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Absence de reflet solaire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Présence de reflet solaire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08 066  Indicateur de semi-transparence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Opaque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Semi-transparent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08 070  Identificateur de produits de sondages verticaux</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Relevés d'instruments situés en surface, coefficients d'étalonnage et maintenance (niveau 1b)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Données étalonnées de luminance énergétique en surface (niveau 1c)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Ramenées à une empreinte de satellite commune, données étalonnées de luminance énergétique en surface (niveau 1d)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08 072  Type de pixel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Partiellement nuageux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Dégagé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Couvert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Probablement dégagé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Probablement couvert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08 074  Type d'écho de l'altimètre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Pleine mer ou mer semi-fermée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Différent de la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08 075  Identificateur d'orbite ascendante ou descendante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Orbite ascendante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Orbite descendante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08 076  Type de bande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Rayonnement infrarouge de grande longueur d'onde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Rayonnement infrarouge de longueur d'onde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Rayonnement infrarouge de courte longueur d'onde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Jour/nuit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08 077  Type de surface détecté par radiomètre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Terre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Littoral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Pleine mer ou mer semi-fermée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Mer fermée ou lac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Glace continentale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6-126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08 079  Catégorie de produit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Diffusion normale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Correction apportée à un produit déjà transmis (COR)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Modification apportée à un produit déjà transmis (AMD)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Correction apportée à un produit modifié déjà transmis (COR AMD)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Annulation d'un produit déjà transmis (CNL)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Aucun produit disponible (NIL)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Message spécial (SPECI)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Message spécial corrigé (SPECI COR)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 ou non applicable</w:t>
            </w:r>
          </w:p>
        </w:tc>
        <w:tc>
          <w:tcPr>
            <w:tcW w:type="dxa" w:w="5046"/>
          </w:tcPr>
          <w:p>
            <w:pPr>
              <w:spacing w:before="20" w:after="20"/>
            </w:pPr>
            <w:r/>
            <w:r>
              <w:rPr>
                <w:rFonts w:ascii="Verdana" w:hAnsi="Verdana"/>
                <w:b w:val="0"/>
                <w:sz w:val="16"/>
              </w:rPr>
            </w:r>
          </w:p>
        </w:tc>
      </w:tr>
    </w:tbl>
    <w:p/>
    <w:p>
      <w:r>
        <w:rPr>
          <w:rFonts w:ascii="Verdana" w:hAnsi="Verdana"/>
          <w:b/>
          <w:sz w:val="18"/>
        </w:rPr>
        <w:t>0 08 080  Identificateur de l'indicateur de qualité pour le GTSPP</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Profil total de la pression hydrostatique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Profil total de la température de l'eau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Profil total de la salinité de l'eau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Profil total de la conductivité de l'eau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Profil total de la profondeur de l'eau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Pression hydrostatique à un niveau donné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Température de l'eau à un niveau donné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Salinité à un niveau donné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Profondeur de l'eau à un niveau donné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Vitesse du courant à un niveau donné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Direction du courant à un niveau donné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Teneur en oxygène dissous à un niveau donné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17-19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08 081  Type d'équipement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Capteur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Émetteur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Récepteur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Plate-forme d'observation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08 082  Correction de la hauteur du capteur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hauteur du capteur n'est pas corrigée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hauteur du capteur est remplacée par la hauteur standard</w:t>
            </w:r>
          </w:p>
        </w:tc>
        <w:tc>
          <w:tcPr>
            <w:tcW w:type="dxa" w:w="5046"/>
          </w:tcPr>
          <w:p>
            <w:pPr>
              <w:spacing w:before="20" w:after="20"/>
            </w:pPr>
            <w:r/>
            <w:r>
              <w:rPr>
                <w:rFonts w:ascii="Verdana" w:hAnsi="Verdana"/>
                <w:b w:val="0"/>
                <w:sz w:val="16"/>
              </w:rPr>
              <w:t>Note 48: Le descripteur 0 04 041, remplacé par la combinaison des descripteurs 0 08 025 et 0 26 003, ne doit pas être utilisé pour le codage de cet élément.</w:t>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08 083  Indicateur de valeur nominale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Ajustée à la hauteur représentative du capteur au-dessus du sol (ou du pont à une plate-forme marine) ou en fonction de celle-ci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Ajustée à la hauteur représentative du capteur au-dessus de la surface de l'eau ou en fonction de celle-ci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Ajustée en fonction de la rugosité de la surface standard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Ajustée en fonction de la vitesse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Ajustée en fonction de la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Ajustée en fonction de la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Ajustée en fonction de l'humidité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Ajustée en fonction de l'évaporation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Ajustée en fonction des pertes par mouillage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08 085  Identification du faisceau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Faisceau avant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Faisceau médian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Faisceau amère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08 086  Caractéristique verticale pour la prévision numérique du temps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Surface «sol» du modèle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Surface isobare standard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Niveau de la tropopause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Niveau du vent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Niveau significatif,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Niveau significatif, humidité relative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Niveau significatif,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Niveau obtenu par interpolation verticale (à mettre à 1 quand les points du profil vertical se situent entre des niveaux verticaux établis par le modèle)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Altitude virtuelle de la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Niveau d'ajustement optimal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08 087  Position des coins déterminant la colonne observée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Supérieur gauche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Supérieur droit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Inférieur droit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Inférieur gauche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08 088  Caractéristiques cartographiques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Vue en plan (longitude terrestre sur l'axe des abscisses et latitude terrestre sur l'axe des ordonnées)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Vue nord-sud (coupe avec la longitude terrestre sur l'axe des abscisses et l'altitude sur l'axe des ordonnées)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Vue est-ouest (coupe avec la latitude terrestre sur l'axe des abscisses et l'altitude sur l'axe des ordonnées)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08 091  Caractéristique des coordonnées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Coordonnées du satellite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Coordonnées de l'observation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Début de l'observation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Fin de l'observation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Centre de gravité de l'observation sur l'axe 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Centre de gravité de l'observation sur l'axe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Sommet de l'observation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Base de l'observation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Origine de la projection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Coordonnées de l'échelle vraie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10-254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08 092  Expression de l'incertitude de mesure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Incertitude type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08 093  Caractéristique de l'incertitude de mesure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Incertitude totale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Composante systématique de l'incertitude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Composante aléatoire de l'incertitude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