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19: Синоптические характеристики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Эффективный радиус синоптической характеристики следует определять относительно радиуса изобары 1000 гПа на среднем уровне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 (большие штормы)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основной оси глаза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последнего 24-часового изменения (+: развитие, –: ослабление)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(Т) номер тропического циклона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окончательного Т номера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