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23: Рассеивание и перенос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Оперативное оповещение об аварии — применимая статья Конвенции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Деятельность или установка, связанные с происшествием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Контрмеры, принятые близ границы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происшествия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Ситуация, связанная с происшествием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текущего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ожидаемого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Возможность значительного химикотоксического воздействия на здоровье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Расход потока в главном приемнике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Поведение выброса во времени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Фактическая высота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Эффективная высота выброса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до точки выброса или места происшествия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воде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грунтовых водах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воде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грунтовой воде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Возможность взаимодействия шлейфа с осадками, выпавшими в стране происхождения аварии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Воздействие на шлейф изменения в направлении и/или флаге скорости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Расход потока — река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Расход потока — колодец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