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33: Информация о качестве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(данные 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состоянии внутренних измерений (АМС)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контроля качества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последующей величины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Отметка качества превышения станции (для подвижных станций)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интерполированных значений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статуса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сканирующей строки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каналов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Номинальный порог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корреляции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наземных ГЛОНАСС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для данных о радиозатмении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последующего события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Условная вероятность последующего события по отношению к указанному определяющему событию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примечания 1, 2 и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достоверности инверсии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вектора атмосферной циркуляции (ВАЦ)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общего содержания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измерений профиля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измерении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поля зрения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гранул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на уровне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геоположения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качества данных по излучению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оптической плотности аэрозоля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воспроизведения уровня элемента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Участок орбиты спутника в пределах Южно-атлантической аномалии (на основе климатологических данных)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общего содержания озона в столбе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теплой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калибровки по холодной мишени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Индикаторы качества эквивалентной шуму разницы температур (NEdT) для общей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