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11</w:t>
      </w:r>
    </w:p>
    <w:p>
      <w:r>
        <w:rPr>
          <w:rFonts w:ascii="Verdana" w:hAnsi="Verdana"/>
          <w:b/>
          <w:sz w:val="18"/>
        </w:rPr>
        <w:t>011030  Extended degree of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Light, isolated 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Light, occasional 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Light, frequently 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Moderate, isolated 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Moderate, occasional 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Moderate, frequently 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Severe, isolated extreme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Severe, occasional extreme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Severe, frequently extreme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011031  Degree of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011037  Turbulence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peak &lt;0.1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peak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peak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peak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peak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peak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ave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ave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ave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ave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ave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ave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011038  Time of occurrence of peak eddy dissipation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=&lt;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=&lt;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=&lt;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=&lt;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=&lt;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=&lt;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=&lt;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=&lt;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=&lt;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=&lt;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=&lt;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=&lt;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=&lt;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=&lt;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timing information available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011039  Extended time of occurrence of peak eddy dissipation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=&lt;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=&lt;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=&lt;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=&lt;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=&lt;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=&lt;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=&lt;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=&lt;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=&lt;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=&lt;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=&lt;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=&lt;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=&lt;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=&lt;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 above to 59 =&lt;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timing information available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