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13</w:t>
      </w:r>
    </w:p>
    <w:p>
      <w:r>
        <w:rPr>
          <w:rFonts w:ascii="Verdana" w:hAnsi="Verdana"/>
          <w:b/>
          <w:sz w:val="18"/>
        </w:rPr>
        <w:t>013038  Superadiabatic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superadiabatic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Superadiabatic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013039  Terrain type (ice/snow)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Snow on land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013040  Surface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Near coast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Possible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Ocean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Coast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Inland water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56: The sequences 3 09 021, 3 09 022, and 3 09 023 should not be used because they are outdated. The sequences 3 09 024, 3 09 025 and 3 09 026, respectively, should be used instead.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Snow cover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Sea 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Standing water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Snow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Frozen soil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013041  Pasquill-Gifford stability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 - 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 - 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013051  Frequency group,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Smaller than any value in the 30-year period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 the first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 the second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 the third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 the fourth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 the fifth quintile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Greater than any value in the 30-year period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013056  Character and intensity of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Light intermittent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Moderate intermittent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Heavy intermittent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Very heavy intermittent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Light continuous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Moderate continuous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Heavy continuous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Very heavy continuous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Variable - alternatively light and heavy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013057  Time of beginning or end of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Within the last hour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 to 2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to 3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 to 4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to 5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 to 6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 to 8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to 10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More than 10 hours ago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