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00: BUFR/CREX table entries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r/>
            <w:r>
              <w:rPr>
                <w:rFonts w:ascii="Verdana" w:hAnsi="Verdana"/>
                <w:b w:val="0"/>
                <w:sz w:val="16"/>
              </w:rPr>
              <w:t>FXY</w:t>
            </w:r>
          </w:p>
        </w:tc>
        <w:tc>
          <w:tcPr>
            <w:tcW w:type="dxa" w:w="1514"/>
            <w:shd w:val="clear" w:color="auto" w:fill="D9D9D9"/>
          </w:tcPr>
          <w:p>
            <w:r/>
            <w:r>
              <w:rPr>
                <w:rFonts w:ascii="Verdana" w:hAnsi="Verdana"/>
                <w:b w:val="0"/>
                <w:sz w:val="16"/>
              </w:rPr>
              <w:t>ELEMENT NAME</w:t>
            </w:r>
          </w:p>
        </w:tc>
        <w:tc>
          <w:tcPr>
            <w:tcW w:type="dxa" w:w="1514"/>
            <w:shd w:val="clear" w:color="auto" w:fill="D9D9D9"/>
          </w:tcPr>
          <w:p>
            <w:r/>
            <w:r>
              <w:rPr>
                <w:rFonts w:ascii="Verdana" w:hAnsi="Verdana"/>
                <w:b w:val="0"/>
                <w:sz w:val="16"/>
              </w:rPr>
              <w:t>BUFR UNIT</w:t>
            </w:r>
          </w:p>
        </w:tc>
        <w:tc>
          <w:tcPr>
            <w:tcW w:type="dxa" w:w="1514"/>
            <w:shd w:val="clear" w:color="auto" w:fill="D9D9D9"/>
          </w:tcPr>
          <w:p>
            <w:r/>
            <w:r>
              <w:rPr>
                <w:rFonts w:ascii="Verdana" w:hAnsi="Verdana"/>
                <w:b w:val="0"/>
                <w:sz w:val="16"/>
              </w:rPr>
              <w:t>SCALE</w:t>
            </w:r>
          </w:p>
        </w:tc>
        <w:tc>
          <w:tcPr>
            <w:tcW w:type="dxa" w:w="1514"/>
            <w:shd w:val="clear" w:color="auto" w:fill="D9D9D9"/>
          </w:tcPr>
          <w:p>
            <w:r/>
            <w:r>
              <w:rPr>
                <w:rFonts w:ascii="Verdana" w:hAnsi="Verdana"/>
                <w:b w:val="0"/>
                <w:sz w:val="16"/>
              </w:rPr>
              <w:t>REF VALUE</w:t>
            </w:r>
          </w:p>
        </w:tc>
        <w:tc>
          <w:tcPr>
            <w:tcW w:type="dxa" w:w="1514"/>
            <w:shd w:val="clear" w:color="auto" w:fill="D9D9D9"/>
          </w:tcPr>
          <w:p>
            <w:r/>
            <w:r>
              <w:rPr>
                <w:rFonts w:ascii="Verdana" w:hAnsi="Verdana"/>
                <w:b w:val="0"/>
                <w:sz w:val="16"/>
              </w:rPr>
              <w:t>BITS</w:t>
            </w:r>
          </w:p>
        </w:tc>
        <w:tc>
          <w:tcPr>
            <w:tcW w:type="dxa" w:w="1514"/>
            <w:shd w:val="clear" w:color="auto" w:fill="D9D9D9"/>
          </w:tcPr>
          <w:p>
            <w:r/>
            <w:r>
              <w:rPr>
                <w:rFonts w:ascii="Verdana" w:hAnsi="Verdana"/>
                <w:b w:val="0"/>
                <w:sz w:val="16"/>
              </w:rPr>
              <w:t>CREX UNIT</w:t>
            </w:r>
          </w:p>
        </w:tc>
        <w:tc>
          <w:tcPr>
            <w:tcW w:type="dxa" w:w="1514"/>
            <w:shd w:val="clear" w:color="auto" w:fill="D9D9D9"/>
          </w:tcPr>
          <w:p>
            <w:r/>
            <w:r>
              <w:rPr>
                <w:rFonts w:ascii="Verdana" w:hAnsi="Verdana"/>
                <w:b w:val="0"/>
                <w:sz w:val="16"/>
              </w:rPr>
              <w:t>SCALE</w:t>
            </w:r>
          </w:p>
        </w:tc>
        <w:tc>
          <w:tcPr>
            <w:tcW w:type="dxa" w:w="1514"/>
            <w:shd w:val="clear" w:color="auto" w:fill="D9D9D9"/>
          </w:tcPr>
          <w:p>
            <w:r/>
            <w:r>
              <w:rPr>
                <w:rFonts w:ascii="Verdana" w:hAnsi="Verdana"/>
                <w:b w:val="0"/>
                <w:sz w:val="16"/>
              </w:rPr>
              <w:t>CHARS</w:t>
            </w:r>
          </w:p>
        </w:tc>
        <w:tc>
          <w:tcPr>
            <w:tcW w:type="dxa" w:w="1514"/>
            <w:shd w:val="clear" w:color="auto" w:fill="D9D9D9"/>
          </w:tcPr>
          <w:p>
            <w:r/>
            <w:r>
              <w:rPr>
                <w:rFonts w:ascii="Verdana" w:hAnsi="Verdana"/>
                <w:b w:val="0"/>
                <w:sz w:val="16"/>
              </w:rPr>
              <w:t>NOTE</w:t>
            </w:r>
          </w:p>
        </w:tc>
      </w:tr>
      <w:tr>
        <w:trPr>
          <w:cantSplit/>
        </w:trPr>
        <w:tc>
          <w:tcPr>
            <w:tcW w:type="dxa" w:w="1514"/>
          </w:tcPr>
          <w:p>
            <w:r/>
            <w:r>
              <w:rPr>
                <w:rFonts w:ascii="Verdana" w:hAnsi="Verdana"/>
                <w:b w:val="0"/>
                <w:sz w:val="16"/>
              </w:rPr>
              <w:t>000001</w:t>
            </w:r>
          </w:p>
        </w:tc>
        <w:tc>
          <w:tcPr>
            <w:tcW w:type="dxa" w:w="1514"/>
          </w:tcPr>
          <w:p>
            <w:r/>
            <w:r>
              <w:rPr>
                <w:rFonts w:ascii="Verdana" w:hAnsi="Verdana"/>
                <w:b w:val="0"/>
                <w:sz w:val="16"/>
              </w:rPr>
              <w:t>Table A: entry</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24</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000002</w:t>
            </w:r>
          </w:p>
        </w:tc>
        <w:tc>
          <w:tcPr>
            <w:tcW w:type="dxa" w:w="1514"/>
          </w:tcPr>
          <w:p>
            <w:r/>
            <w:r>
              <w:rPr>
                <w:rFonts w:ascii="Verdana" w:hAnsi="Verdana"/>
                <w:b w:val="0"/>
                <w:sz w:val="16"/>
              </w:rPr>
              <w:t>Table A: data category description, line 1</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256</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32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000003</w:t>
            </w:r>
          </w:p>
        </w:tc>
        <w:tc>
          <w:tcPr>
            <w:tcW w:type="dxa" w:w="1514"/>
          </w:tcPr>
          <w:p>
            <w:r/>
            <w:r>
              <w:rPr>
                <w:rFonts w:ascii="Verdana" w:hAnsi="Verdana"/>
                <w:b w:val="0"/>
                <w:sz w:val="16"/>
              </w:rPr>
              <w:t>Table A: data category description, line 2</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256</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32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000004</w:t>
            </w:r>
          </w:p>
        </w:tc>
        <w:tc>
          <w:tcPr>
            <w:tcW w:type="dxa" w:w="1514"/>
          </w:tcPr>
          <w:p>
            <w:r/>
            <w:r>
              <w:rPr>
                <w:rFonts w:ascii="Verdana" w:hAnsi="Verdana"/>
                <w:b w:val="0"/>
                <w:sz w:val="16"/>
              </w:rPr>
              <w:t>BUFR/CREX Master table</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Note 98: Master tables are described in Note 2 to Section 1 of the BUFR regulations (part of the regulation entitled "Specifications of octet contents").</w:t>
            </w:r>
          </w:p>
        </w:tc>
      </w:tr>
      <w:tr>
        <w:trPr>
          <w:cantSplit/>
        </w:trPr>
        <w:tc>
          <w:tcPr>
            <w:tcW w:type="dxa" w:w="1514"/>
          </w:tcPr>
          <w:p>
            <w:r/>
            <w:r>
              <w:rPr>
                <w:rFonts w:ascii="Verdana" w:hAnsi="Verdana"/>
                <w:b w:val="0"/>
                <w:sz w:val="16"/>
              </w:rPr>
              <w:t>000005</w:t>
            </w:r>
          </w:p>
        </w:tc>
        <w:tc>
          <w:tcPr>
            <w:tcW w:type="dxa" w:w="1514"/>
          </w:tcPr>
          <w:p>
            <w:r/>
            <w:r>
              <w:rPr>
                <w:rFonts w:ascii="Verdana" w:hAnsi="Verdana"/>
                <w:b w:val="0"/>
                <w:sz w:val="16"/>
              </w:rPr>
              <w:t>BUFR/CREX edition number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24</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000006</w:t>
            </w:r>
          </w:p>
        </w:tc>
        <w:tc>
          <w:tcPr>
            <w:tcW w:type="dxa" w:w="1514"/>
          </w:tcPr>
          <w:p>
            <w:r/>
            <w:r>
              <w:rPr>
                <w:rFonts w:ascii="Verdana" w:hAnsi="Verdana"/>
                <w:b w:val="0"/>
                <w:sz w:val="16"/>
              </w:rPr>
              <w:t>BUFR Master table version number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Note 33: It is better to use different Class 00 descriptors for the defining and defined elements, in the same way as different descriptors correspond to pressure considered as a coordinate and pressure measured at a given point; otherwise special rules would be needed to interpret such message. Entries 0 00 010 to 0 00 012 define F, X and Y for Tables B and D; entry 0 00 030 is a descriptor used as data and provides the F, X and Y values defining a sequence for Table D entries.</w:t>
            </w:r>
          </w:p>
        </w:tc>
      </w:tr>
      <w:tr>
        <w:trPr>
          <w:cantSplit/>
        </w:trPr>
        <w:tc>
          <w:tcPr>
            <w:tcW w:type="dxa" w:w="1514"/>
          </w:tcPr>
          <w:p>
            <w:r/>
            <w:r>
              <w:rPr>
                <w:rFonts w:ascii="Verdana" w:hAnsi="Verdana"/>
                <w:b w:val="0"/>
                <w:sz w:val="16"/>
              </w:rPr>
              <w:t>000007</w:t>
            </w:r>
          </w:p>
        </w:tc>
        <w:tc>
          <w:tcPr>
            <w:tcW w:type="dxa" w:w="1514"/>
          </w:tcPr>
          <w:p>
            <w:r/>
            <w:r>
              <w:rPr>
                <w:rFonts w:ascii="Verdana" w:hAnsi="Verdana"/>
                <w:b w:val="0"/>
                <w:sz w:val="16"/>
              </w:rPr>
              <w:t>CREX Master table version number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Note 40: Non-surface levels on the model’s native vertical coordinate are transposed to pressure coordinate. This makes the levels more readily intelligible for human interpretation and easier to use by generic display applications. The levels may correspond exactly to native model levels, or be interpolated between model levels to pressure levels chosen by the generating centre.</w:t>
            </w:r>
          </w:p>
        </w:tc>
      </w:tr>
      <w:tr>
        <w:trPr>
          <w:cantSplit/>
        </w:trPr>
        <w:tc>
          <w:tcPr>
            <w:tcW w:type="dxa" w:w="1514"/>
          </w:tcPr>
          <w:p>
            <w:r/>
            <w:r>
              <w:rPr>
                <w:rFonts w:ascii="Verdana" w:hAnsi="Verdana"/>
                <w:b w:val="0"/>
                <w:sz w:val="16"/>
              </w:rPr>
              <w:t>000008</w:t>
            </w:r>
          </w:p>
        </w:tc>
        <w:tc>
          <w:tcPr>
            <w:tcW w:type="dxa" w:w="1514"/>
          </w:tcPr>
          <w:p>
            <w:r/>
            <w:r>
              <w:rPr>
                <w:rFonts w:ascii="Verdana" w:hAnsi="Verdana"/>
                <w:b w:val="0"/>
                <w:sz w:val="16"/>
              </w:rPr>
              <w:t>BUFR Local table version number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Note 76: Within 3 07 045, 3 07 048 and 3 07 053, wind speed shall be reported in the same units as in the original TAC data and: 0 11 083 shall be set to missing, if wind speed is reported in knots or m s-1 in TAC data, 0 11 084 shall be set to missing, if wind speed is reported in km h-1 or m s-1 in TAC data.</w:t>
            </w:r>
          </w:p>
        </w:tc>
      </w:tr>
      <w:tr>
        <w:trPr>
          <w:cantSplit/>
        </w:trPr>
        <w:tc>
          <w:tcPr>
            <w:tcW w:type="dxa" w:w="1514"/>
          </w:tcPr>
          <w:p>
            <w:r/>
            <w:r>
              <w:rPr>
                <w:rFonts w:ascii="Verdana" w:hAnsi="Verdana"/>
                <w:b w:val="0"/>
                <w:sz w:val="16"/>
              </w:rPr>
              <w:t>000010</w:t>
            </w:r>
          </w:p>
        </w:tc>
        <w:tc>
          <w:tcPr>
            <w:tcW w:type="dxa" w:w="1514"/>
          </w:tcPr>
          <w:p>
            <w:r/>
            <w:r>
              <w:rPr>
                <w:rFonts w:ascii="Verdana" w:hAnsi="Verdana"/>
                <w:b w:val="0"/>
                <w:sz w:val="16"/>
              </w:rPr>
              <w:t>F descriptor to be added or defined</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000011</w:t>
            </w:r>
          </w:p>
        </w:tc>
        <w:tc>
          <w:tcPr>
            <w:tcW w:type="dxa" w:w="1514"/>
          </w:tcPr>
          <w:p>
            <w:r/>
            <w:r>
              <w:rPr>
                <w:rFonts w:ascii="Verdana" w:hAnsi="Verdana"/>
                <w:b w:val="0"/>
                <w:sz w:val="16"/>
              </w:rPr>
              <w:t>X descriptor to be added or defined</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000012</w:t>
            </w:r>
          </w:p>
        </w:tc>
        <w:tc>
          <w:tcPr>
            <w:tcW w:type="dxa" w:w="1514"/>
          </w:tcPr>
          <w:p>
            <w:r/>
            <w:r>
              <w:rPr>
                <w:rFonts w:ascii="Verdana" w:hAnsi="Verdana"/>
                <w:b w:val="0"/>
                <w:sz w:val="16"/>
              </w:rPr>
              <w:t>Y descriptor to be added or defined</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24</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000013</w:t>
            </w:r>
          </w:p>
        </w:tc>
        <w:tc>
          <w:tcPr>
            <w:tcW w:type="dxa" w:w="1514"/>
          </w:tcPr>
          <w:p>
            <w:r/>
            <w:r>
              <w:rPr>
                <w:rFonts w:ascii="Verdana" w:hAnsi="Verdana"/>
                <w:b w:val="0"/>
                <w:sz w:val="16"/>
              </w:rPr>
              <w:t>Element name, line 1</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256</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32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000014</w:t>
            </w:r>
          </w:p>
        </w:tc>
        <w:tc>
          <w:tcPr>
            <w:tcW w:type="dxa" w:w="1514"/>
          </w:tcPr>
          <w:p>
            <w:r/>
            <w:r>
              <w:rPr>
                <w:rFonts w:ascii="Verdana" w:hAnsi="Verdana"/>
                <w:b w:val="0"/>
                <w:sz w:val="16"/>
              </w:rPr>
              <w:t>Element name, line 2</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256</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32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000015</w:t>
            </w:r>
          </w:p>
        </w:tc>
        <w:tc>
          <w:tcPr>
            <w:tcW w:type="dxa" w:w="1514"/>
          </w:tcPr>
          <w:p>
            <w:r/>
            <w:r>
              <w:rPr>
                <w:rFonts w:ascii="Verdana" w:hAnsi="Verdana"/>
                <w:b w:val="0"/>
                <w:sz w:val="16"/>
              </w:rPr>
              <w:t>Units name</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192</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24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000016</w:t>
            </w:r>
          </w:p>
        </w:tc>
        <w:tc>
          <w:tcPr>
            <w:tcW w:type="dxa" w:w="1514"/>
          </w:tcPr>
          <w:p>
            <w:r/>
            <w:r>
              <w:rPr>
                <w:rFonts w:ascii="Verdana" w:hAnsi="Verdana"/>
                <w:b w:val="0"/>
                <w:sz w:val="16"/>
              </w:rPr>
              <w:t>Units scale sign</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000017</w:t>
            </w:r>
          </w:p>
        </w:tc>
        <w:tc>
          <w:tcPr>
            <w:tcW w:type="dxa" w:w="1514"/>
          </w:tcPr>
          <w:p>
            <w:r/>
            <w:r>
              <w:rPr>
                <w:rFonts w:ascii="Verdana" w:hAnsi="Verdana"/>
                <w:b w:val="0"/>
                <w:sz w:val="16"/>
              </w:rPr>
              <w:t>Units scale</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24</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000018</w:t>
            </w:r>
          </w:p>
        </w:tc>
        <w:tc>
          <w:tcPr>
            <w:tcW w:type="dxa" w:w="1514"/>
          </w:tcPr>
          <w:p>
            <w:r/>
            <w:r>
              <w:rPr>
                <w:rFonts w:ascii="Verdana" w:hAnsi="Verdana"/>
                <w:b w:val="0"/>
                <w:sz w:val="16"/>
              </w:rPr>
              <w:t>Units reference sign</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000019</w:t>
            </w:r>
          </w:p>
        </w:tc>
        <w:tc>
          <w:tcPr>
            <w:tcW w:type="dxa" w:w="1514"/>
          </w:tcPr>
          <w:p>
            <w:r/>
            <w:r>
              <w:rPr>
                <w:rFonts w:ascii="Verdana" w:hAnsi="Verdana"/>
                <w:b w:val="0"/>
                <w:sz w:val="16"/>
              </w:rPr>
              <w:t>Units reference value</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80</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000020</w:t>
            </w:r>
          </w:p>
        </w:tc>
        <w:tc>
          <w:tcPr>
            <w:tcW w:type="dxa" w:w="1514"/>
          </w:tcPr>
          <w:p>
            <w:r/>
            <w:r>
              <w:rPr>
                <w:rFonts w:ascii="Verdana" w:hAnsi="Verdana"/>
                <w:b w:val="0"/>
                <w:sz w:val="16"/>
              </w:rPr>
              <w:t>Element data width</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24</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000024</w:t>
            </w:r>
          </w:p>
        </w:tc>
        <w:tc>
          <w:tcPr>
            <w:tcW w:type="dxa" w:w="1514"/>
          </w:tcPr>
          <w:p>
            <w:r/>
            <w:r>
              <w:rPr>
                <w:rFonts w:ascii="Verdana" w:hAnsi="Verdana"/>
                <w:b w:val="0"/>
                <w:sz w:val="16"/>
              </w:rPr>
              <w:t>Code figure</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64</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000025</w:t>
            </w:r>
          </w:p>
        </w:tc>
        <w:tc>
          <w:tcPr>
            <w:tcW w:type="dxa" w:w="1514"/>
          </w:tcPr>
          <w:p>
            <w:r/>
            <w:r>
              <w:rPr>
                <w:rFonts w:ascii="Verdana" w:hAnsi="Verdana"/>
                <w:b w:val="0"/>
                <w:sz w:val="16"/>
              </w:rPr>
              <w:t>Code figure meaning</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496</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62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000026</w:t>
            </w:r>
          </w:p>
        </w:tc>
        <w:tc>
          <w:tcPr>
            <w:tcW w:type="dxa" w:w="1514"/>
          </w:tcPr>
          <w:p>
            <w:r/>
            <w:r>
              <w:rPr>
                <w:rFonts w:ascii="Verdana" w:hAnsi="Verdana"/>
                <w:b w:val="0"/>
                <w:sz w:val="16"/>
              </w:rPr>
              <w:t>Bit number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48</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000027</w:t>
            </w:r>
          </w:p>
        </w:tc>
        <w:tc>
          <w:tcPr>
            <w:tcW w:type="dxa" w:w="1514"/>
          </w:tcPr>
          <w:p>
            <w:r/>
            <w:r>
              <w:rPr>
                <w:rFonts w:ascii="Verdana" w:hAnsi="Verdana"/>
                <w:b w:val="0"/>
                <w:sz w:val="16"/>
              </w:rPr>
              <w:t>Bit number meaning</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496</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62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000030</w:t>
            </w:r>
          </w:p>
        </w:tc>
        <w:tc>
          <w:tcPr>
            <w:tcW w:type="dxa" w:w="1514"/>
          </w:tcPr>
          <w:p>
            <w:r/>
            <w:r>
              <w:rPr>
                <w:rFonts w:ascii="Verdana" w:hAnsi="Verdana"/>
                <w:b w:val="0"/>
                <w:sz w:val="16"/>
              </w:rPr>
              <w:t>Descriptor defining sequence</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48</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