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01: Identification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r/>
            <w:r>
              <w:rPr>
                <w:rFonts w:ascii="Verdana" w:hAnsi="Verdana"/>
                <w:b w:val="0"/>
                <w:sz w:val="16"/>
              </w:rPr>
              <w:t>FXY</w:t>
            </w:r>
          </w:p>
        </w:tc>
        <w:tc>
          <w:tcPr>
            <w:tcW w:type="dxa" w:w="1514"/>
            <w:shd w:val="clear" w:color="auto" w:fill="D9D9D9"/>
          </w:tcPr>
          <w:p>
            <w:r/>
            <w:r>
              <w:rPr>
                <w:rFonts w:ascii="Verdana" w:hAnsi="Verdana"/>
                <w:b w:val="0"/>
                <w:sz w:val="16"/>
              </w:rPr>
              <w:t>ELEMENT NAME</w:t>
            </w:r>
          </w:p>
        </w:tc>
        <w:tc>
          <w:tcPr>
            <w:tcW w:type="dxa" w:w="1514"/>
            <w:shd w:val="clear" w:color="auto" w:fill="D9D9D9"/>
          </w:tcPr>
          <w:p>
            <w:r/>
            <w:r>
              <w:rPr>
                <w:rFonts w:ascii="Verdana" w:hAnsi="Verdana"/>
                <w:b w:val="0"/>
                <w:sz w:val="16"/>
              </w:rPr>
              <w:t>BUFR UNIT</w:t>
            </w:r>
          </w:p>
        </w:tc>
        <w:tc>
          <w:tcPr>
            <w:tcW w:type="dxa" w:w="1514"/>
            <w:shd w:val="clear" w:color="auto" w:fill="D9D9D9"/>
          </w:tcPr>
          <w:p>
            <w:r/>
            <w:r>
              <w:rPr>
                <w:rFonts w:ascii="Verdana" w:hAnsi="Verdana"/>
                <w:b w:val="0"/>
                <w:sz w:val="16"/>
              </w:rPr>
              <w:t>SCALE</w:t>
            </w:r>
          </w:p>
        </w:tc>
        <w:tc>
          <w:tcPr>
            <w:tcW w:type="dxa" w:w="1514"/>
            <w:shd w:val="clear" w:color="auto" w:fill="D9D9D9"/>
          </w:tcPr>
          <w:p>
            <w:r/>
            <w:r>
              <w:rPr>
                <w:rFonts w:ascii="Verdana" w:hAnsi="Verdana"/>
                <w:b w:val="0"/>
                <w:sz w:val="16"/>
              </w:rPr>
              <w:t>REF VALUE</w:t>
            </w:r>
          </w:p>
        </w:tc>
        <w:tc>
          <w:tcPr>
            <w:tcW w:type="dxa" w:w="1514"/>
            <w:shd w:val="clear" w:color="auto" w:fill="D9D9D9"/>
          </w:tcPr>
          <w:p>
            <w:r/>
            <w:r>
              <w:rPr>
                <w:rFonts w:ascii="Verdana" w:hAnsi="Verdana"/>
                <w:b w:val="0"/>
                <w:sz w:val="16"/>
              </w:rPr>
              <w:t>BITS</w:t>
            </w:r>
          </w:p>
        </w:tc>
        <w:tc>
          <w:tcPr>
            <w:tcW w:type="dxa" w:w="1514"/>
            <w:shd w:val="clear" w:color="auto" w:fill="D9D9D9"/>
          </w:tcPr>
          <w:p>
            <w:r/>
            <w:r>
              <w:rPr>
                <w:rFonts w:ascii="Verdana" w:hAnsi="Verdana"/>
                <w:b w:val="0"/>
                <w:sz w:val="16"/>
              </w:rPr>
              <w:t>CREX UNIT</w:t>
            </w:r>
          </w:p>
        </w:tc>
        <w:tc>
          <w:tcPr>
            <w:tcW w:type="dxa" w:w="1514"/>
            <w:shd w:val="clear" w:color="auto" w:fill="D9D9D9"/>
          </w:tcPr>
          <w:p>
            <w:r/>
            <w:r>
              <w:rPr>
                <w:rFonts w:ascii="Verdana" w:hAnsi="Verdana"/>
                <w:b w:val="0"/>
                <w:sz w:val="16"/>
              </w:rPr>
              <w:t>SCALE</w:t>
            </w:r>
          </w:p>
        </w:tc>
        <w:tc>
          <w:tcPr>
            <w:tcW w:type="dxa" w:w="1514"/>
            <w:shd w:val="clear" w:color="auto" w:fill="D9D9D9"/>
          </w:tcPr>
          <w:p>
            <w:r/>
            <w:r>
              <w:rPr>
                <w:rFonts w:ascii="Verdana" w:hAnsi="Verdana"/>
                <w:b w:val="0"/>
                <w:sz w:val="16"/>
              </w:rPr>
              <w:t>CHARS</w:t>
            </w:r>
          </w:p>
        </w:tc>
        <w:tc>
          <w:tcPr>
            <w:tcW w:type="dxa" w:w="1514"/>
            <w:shd w:val="clear" w:color="auto" w:fill="D9D9D9"/>
          </w:tcPr>
          <w:p>
            <w:r/>
            <w:r>
              <w:rPr>
                <w:rFonts w:ascii="Verdana" w:hAnsi="Verdana"/>
                <w:b w:val="0"/>
                <w:sz w:val="16"/>
              </w:rPr>
              <w:t>NOTE</w:t>
            </w:r>
          </w:p>
        </w:tc>
      </w:tr>
      <w:tr>
        <w:trPr>
          <w:cantSplit/>
        </w:trPr>
        <w:tc>
          <w:tcPr>
            <w:tcW w:type="dxa" w:w="1514"/>
          </w:tcPr>
          <w:p>
            <w:r/>
            <w:r>
              <w:rPr>
                <w:rFonts w:ascii="Verdana" w:hAnsi="Verdana"/>
                <w:b w:val="0"/>
                <w:sz w:val="16"/>
              </w:rPr>
              <w:t>001001</w:t>
            </w:r>
          </w:p>
        </w:tc>
        <w:tc>
          <w:tcPr>
            <w:tcW w:type="dxa" w:w="1514"/>
          </w:tcPr>
          <w:p>
            <w:r/>
            <w:r>
              <w:rPr>
                <w:rFonts w:ascii="Verdana" w:hAnsi="Verdana"/>
                <w:b w:val="0"/>
                <w:sz w:val="16"/>
              </w:rPr>
              <w:t>WMO block number</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001002</w:t>
            </w:r>
          </w:p>
        </w:tc>
        <w:tc>
          <w:tcPr>
            <w:tcW w:type="dxa" w:w="1514"/>
          </w:tcPr>
          <w:p>
            <w:r/>
            <w:r>
              <w:rPr>
                <w:rFonts w:ascii="Verdana" w:hAnsi="Verdana"/>
                <w:b w:val="0"/>
                <w:sz w:val="16"/>
              </w:rPr>
              <w:t>WMO station number</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001003</w:t>
            </w:r>
          </w:p>
        </w:tc>
        <w:tc>
          <w:tcPr>
            <w:tcW w:type="dxa" w:w="1514"/>
          </w:tcPr>
          <w:p>
            <w:r/>
            <w:r>
              <w:rPr>
                <w:rFonts w:ascii="Verdana" w:hAnsi="Verdana"/>
                <w:b w:val="0"/>
                <w:sz w:val="16"/>
              </w:rPr>
              <w:t>WMO Region number/geographical area</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001004</w:t>
            </w:r>
          </w:p>
        </w:tc>
        <w:tc>
          <w:tcPr>
            <w:tcW w:type="dxa" w:w="1514"/>
          </w:tcPr>
          <w:p>
            <w:r/>
            <w:r>
              <w:rPr>
                <w:rFonts w:ascii="Verdana" w:hAnsi="Verdana"/>
                <w:b w:val="0"/>
                <w:sz w:val="16"/>
              </w:rPr>
              <w:t>WMO Region sub-area</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t>Note 42: Range of value for parameter 0 04 015 limited from -99 to 99; CREX common sequence D 06 019 being the original sequence with 2 characters only for the corresponding descriptor.</w:t>
            </w:r>
          </w:p>
        </w:tc>
      </w:tr>
      <w:tr>
        <w:trPr>
          <w:cantSplit/>
        </w:trPr>
        <w:tc>
          <w:tcPr>
            <w:tcW w:type="dxa" w:w="1514"/>
          </w:tcPr>
          <w:p>
            <w:r/>
            <w:r>
              <w:rPr>
                <w:rFonts w:ascii="Verdana" w:hAnsi="Verdana"/>
                <w:b w:val="0"/>
                <w:sz w:val="16"/>
              </w:rPr>
              <w:t>001005</w:t>
            </w:r>
          </w:p>
        </w:tc>
        <w:tc>
          <w:tcPr>
            <w:tcW w:type="dxa" w:w="1514"/>
          </w:tcPr>
          <w:p>
            <w:r/>
            <w:r>
              <w:rPr>
                <w:rFonts w:ascii="Verdana" w:hAnsi="Verdana"/>
                <w:b w:val="0"/>
                <w:sz w:val="16"/>
              </w:rPr>
              <w:t>Buoy/platform identifier</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17</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001006</w:t>
            </w:r>
          </w:p>
        </w:tc>
        <w:tc>
          <w:tcPr>
            <w:tcW w:type="dxa" w:w="1514"/>
          </w:tcPr>
          <w:p>
            <w:r/>
            <w:r>
              <w:rPr>
                <w:rFonts w:ascii="Verdana" w:hAnsi="Verdana"/>
                <w:b w:val="0"/>
                <w:sz w:val="16"/>
              </w:rPr>
              <w:t>Aircraft flight number</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64</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001007</w:t>
            </w:r>
          </w:p>
        </w:tc>
        <w:tc>
          <w:tcPr>
            <w:tcW w:type="dxa" w:w="1514"/>
          </w:tcPr>
          <w:p>
            <w:r/>
            <w:r>
              <w:rPr>
                <w:rFonts w:ascii="Verdana" w:hAnsi="Verdana"/>
                <w:b w:val="0"/>
                <w:sz w:val="16"/>
              </w:rPr>
              <w:t>Satellite identifier</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001008</w:t>
            </w:r>
          </w:p>
        </w:tc>
        <w:tc>
          <w:tcPr>
            <w:tcW w:type="dxa" w:w="1514"/>
          </w:tcPr>
          <w:p>
            <w:r/>
            <w:r>
              <w:rPr>
                <w:rFonts w:ascii="Verdana" w:hAnsi="Verdana"/>
                <w:b w:val="0"/>
                <w:sz w:val="16"/>
              </w:rPr>
              <w:t>Aircraft registration number or other identification</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64</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001009</w:t>
            </w:r>
          </w:p>
        </w:tc>
        <w:tc>
          <w:tcPr>
            <w:tcW w:type="dxa" w:w="1514"/>
          </w:tcPr>
          <w:p>
            <w:r/>
            <w:r>
              <w:rPr>
                <w:rFonts w:ascii="Verdana" w:hAnsi="Verdana"/>
                <w:b w:val="0"/>
                <w:sz w:val="16"/>
              </w:rPr>
              <w:t>Type of commercial aircraft</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64</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001010</w:t>
            </w:r>
          </w:p>
        </w:tc>
        <w:tc>
          <w:tcPr>
            <w:tcW w:type="dxa" w:w="1514"/>
          </w:tcPr>
          <w:p>
            <w:r/>
            <w:r>
              <w:rPr>
                <w:rFonts w:ascii="Verdana" w:hAnsi="Verdana"/>
                <w:b w:val="0"/>
                <w:sz w:val="16"/>
              </w:rPr>
              <w:t>Stationary buoy platform identifier; e.g. C-MAN buoys</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64</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001011</w:t>
            </w:r>
          </w:p>
        </w:tc>
        <w:tc>
          <w:tcPr>
            <w:tcW w:type="dxa" w:w="1514"/>
          </w:tcPr>
          <w:p>
            <w:r/>
            <w:r>
              <w:rPr>
                <w:rFonts w:ascii="Verdana" w:hAnsi="Verdana"/>
                <w:b w:val="0"/>
                <w:sz w:val="16"/>
              </w:rPr>
              <w:t>Ship or mobile land station identifier</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72</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9</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001012</w:t>
            </w:r>
          </w:p>
        </w:tc>
        <w:tc>
          <w:tcPr>
            <w:tcW w:type="dxa" w:w="1514"/>
          </w:tcPr>
          <w:p>
            <w:r/>
            <w:r>
              <w:rPr>
                <w:rFonts w:ascii="Verdana" w:hAnsi="Verdana"/>
                <w:b w:val="0"/>
                <w:sz w:val="16"/>
              </w:rPr>
              <w:t>Direction of motion of moving observing platform</w:t>
            </w:r>
          </w:p>
        </w:tc>
        <w:tc>
          <w:tcPr>
            <w:tcW w:type="dxa" w:w="1514"/>
          </w:tcPr>
          <w:p>
            <w:r/>
            <w:r>
              <w:rPr>
                <w:rFonts w:ascii="Verdana" w:hAnsi="Verdana"/>
                <w:b w:val="0"/>
                <w:sz w:val="16"/>
              </w:rPr>
              <w:t>degree true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9</w:t>
            </w:r>
          </w:p>
        </w:tc>
        <w:tc>
          <w:tcPr>
            <w:tcW w:type="dxa" w:w="1514"/>
          </w:tcPr>
          <w:p>
            <w:r/>
            <w:r>
              <w:rPr>
                <w:rFonts w:ascii="Verdana" w:hAnsi="Verdana"/>
                <w:b w:val="0"/>
                <w:sz w:val="16"/>
              </w:rPr>
              <w:t>degree true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Note 125: Stationary position of ship shall be reported by 0 01 012 set to 0 and 0 01 013 set to 0. Course of ship unknown (Ds = 9) shall be reported by 0 01 012 set to 509. | Note 60: The time period indicates the duration in minutes over which the measurements have been averaged. The end of the time period is marked by the end of scan (see above).</w:t>
            </w:r>
          </w:p>
        </w:tc>
      </w:tr>
      <w:tr>
        <w:trPr>
          <w:cantSplit/>
        </w:trPr>
        <w:tc>
          <w:tcPr>
            <w:tcW w:type="dxa" w:w="1514"/>
          </w:tcPr>
          <w:p>
            <w:r/>
            <w:r>
              <w:rPr>
                <w:rFonts w:ascii="Verdana" w:hAnsi="Verdana"/>
                <w:b w:val="0"/>
                <w:sz w:val="16"/>
              </w:rPr>
              <w:t>001013</w:t>
            </w:r>
          </w:p>
        </w:tc>
        <w:tc>
          <w:tcPr>
            <w:tcW w:type="dxa" w:w="1514"/>
          </w:tcPr>
          <w:p>
            <w:r/>
            <w:r>
              <w:rPr>
                <w:rFonts w:ascii="Verdana" w:hAnsi="Verdana"/>
                <w:b w:val="0"/>
                <w:sz w:val="16"/>
              </w:rPr>
              <w:t>Speed of motion of moving observing platform</w:t>
            </w:r>
          </w:p>
        </w:tc>
        <w:tc>
          <w:tcPr>
            <w:tcW w:type="dxa" w:w="1514"/>
          </w:tcPr>
          <w:p>
            <w:r/>
            <w:r>
              <w:rPr>
                <w:rFonts w:ascii="Verdana" w:hAnsi="Verdana"/>
                <w:b w:val="0"/>
                <w:sz w:val="16"/>
              </w:rPr>
              <w:t>m/s</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m/s</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Note 60: The time period indicates the duration in minutes over which the measurements have been averaged. The end of the time period is marked by the end of scan (see above). | Note 125: Stationary position of ship shall be reported by 0 01 012 set to 0 and 0 01 013 set to 0. Course of ship unknown (Ds = 9) shall be reported by 0 01 012 set to 509.</w:t>
            </w:r>
          </w:p>
        </w:tc>
      </w:tr>
      <w:tr>
        <w:trPr>
          <w:cantSplit/>
        </w:trPr>
        <w:tc>
          <w:tcPr>
            <w:tcW w:type="dxa" w:w="1514"/>
          </w:tcPr>
          <w:p>
            <w:r/>
            <w:r>
              <w:rPr>
                <w:rFonts w:ascii="Verdana" w:hAnsi="Verdana"/>
                <w:b w:val="0"/>
                <w:sz w:val="16"/>
              </w:rPr>
              <w:t>001014</w:t>
            </w:r>
          </w:p>
        </w:tc>
        <w:tc>
          <w:tcPr>
            <w:tcW w:type="dxa" w:w="1514"/>
          </w:tcPr>
          <w:p>
            <w:r/>
            <w:r>
              <w:rPr>
                <w:rFonts w:ascii="Verdana" w:hAnsi="Verdana"/>
                <w:b w:val="0"/>
                <w:sz w:val="16"/>
              </w:rPr>
              <w:t>Platform drift speed (high precision)</w:t>
            </w:r>
          </w:p>
        </w:tc>
        <w:tc>
          <w:tcPr>
            <w:tcW w:type="dxa" w:w="1514"/>
          </w:tcPr>
          <w:p>
            <w:r/>
            <w:r>
              <w:rPr>
                <w:rFonts w:ascii="Verdana" w:hAnsi="Verdana"/>
                <w:b w:val="0"/>
                <w:sz w:val="16"/>
              </w:rPr>
              <w:t>m/s</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m/s</w:t>
            </w:r>
          </w:p>
        </w:tc>
        <w:tc>
          <w:tcPr>
            <w:tcW w:type="dxa" w:w="1514"/>
          </w:tcPr>
          <w:p>
            <w:r/>
            <w:r>
              <w:rPr>
                <w:rFonts w:ascii="Verdana" w:hAnsi="Verdana"/>
                <w:b w:val="0"/>
                <w:sz w:val="16"/>
              </w:rPr>
              <w:t>2</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001015</w:t>
            </w:r>
          </w:p>
        </w:tc>
        <w:tc>
          <w:tcPr>
            <w:tcW w:type="dxa" w:w="1514"/>
          </w:tcPr>
          <w:p>
            <w:r/>
            <w:r>
              <w:rPr>
                <w:rFonts w:ascii="Verdana" w:hAnsi="Verdana"/>
                <w:b w:val="0"/>
                <w:sz w:val="16"/>
              </w:rPr>
              <w:t>Station or site name</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160</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20</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001016</w:t>
            </w:r>
          </w:p>
        </w:tc>
        <w:tc>
          <w:tcPr>
            <w:tcW w:type="dxa" w:w="1514"/>
          </w:tcPr>
          <w:p>
            <w:r/>
            <w:r>
              <w:rPr>
                <w:rFonts w:ascii="Verdana" w:hAnsi="Verdana"/>
                <w:b w:val="0"/>
                <w:sz w:val="16"/>
              </w:rPr>
              <w:t>Satellite sub-identifier</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001018</w:t>
            </w:r>
          </w:p>
        </w:tc>
        <w:tc>
          <w:tcPr>
            <w:tcW w:type="dxa" w:w="1514"/>
          </w:tcPr>
          <w:p>
            <w:r/>
            <w:r>
              <w:rPr>
                <w:rFonts w:ascii="Verdana" w:hAnsi="Verdana"/>
                <w:b w:val="0"/>
                <w:sz w:val="16"/>
              </w:rPr>
              <w:t>Short station or site name</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40</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001019</w:t>
            </w:r>
          </w:p>
        </w:tc>
        <w:tc>
          <w:tcPr>
            <w:tcW w:type="dxa" w:w="1514"/>
          </w:tcPr>
          <w:p>
            <w:r/>
            <w:r>
              <w:rPr>
                <w:rFonts w:ascii="Verdana" w:hAnsi="Verdana"/>
                <w:b w:val="0"/>
                <w:sz w:val="16"/>
              </w:rPr>
              <w:t>Long station or site name</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256</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32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001020</w:t>
            </w:r>
          </w:p>
        </w:tc>
        <w:tc>
          <w:tcPr>
            <w:tcW w:type="dxa" w:w="1514"/>
          </w:tcPr>
          <w:p>
            <w:r/>
            <w:r>
              <w:rPr>
                <w:rFonts w:ascii="Verdana" w:hAnsi="Verdana"/>
                <w:b w:val="0"/>
                <w:sz w:val="16"/>
              </w:rPr>
              <w:t>WMO Region sub-area</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001021</w:t>
            </w:r>
          </w:p>
        </w:tc>
        <w:tc>
          <w:tcPr>
            <w:tcW w:type="dxa" w:w="1514"/>
          </w:tcPr>
          <w:p>
            <w:r/>
            <w:r>
              <w:rPr>
                <w:rFonts w:ascii="Verdana" w:hAnsi="Verdana"/>
                <w:b w:val="0"/>
                <w:sz w:val="16"/>
              </w:rPr>
              <w:t>Synoptic feature identifier</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001022</w:t>
            </w:r>
          </w:p>
        </w:tc>
        <w:tc>
          <w:tcPr>
            <w:tcW w:type="dxa" w:w="1514"/>
          </w:tcPr>
          <w:p>
            <w:r/>
            <w:r>
              <w:rPr>
                <w:rFonts w:ascii="Verdana" w:hAnsi="Verdana"/>
                <w:b w:val="0"/>
                <w:sz w:val="16"/>
              </w:rPr>
              <w:t>Name of feature</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224</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28</w:t>
            </w:r>
          </w:p>
        </w:tc>
        <w:tc>
          <w:tcPr>
            <w:tcW w:type="dxa" w:w="1514"/>
          </w:tcPr>
          <w:p>
            <w:r/>
            <w:r>
              <w:rPr>
                <w:rFonts w:ascii="Verdana" w:hAnsi="Verdana"/>
                <w:b w:val="0"/>
                <w:sz w:val="16"/>
              </w:rPr>
              <w:t>Note 72: Time of launch shall be reported with the highest possible accuracy available. If the launch time is not available with second accuracy, the entry for seconds shall be set to zero.</w:t>
            </w:r>
          </w:p>
        </w:tc>
      </w:tr>
      <w:tr>
        <w:trPr>
          <w:cantSplit/>
        </w:trPr>
        <w:tc>
          <w:tcPr>
            <w:tcW w:type="dxa" w:w="1514"/>
          </w:tcPr>
          <w:p>
            <w:r/>
            <w:r>
              <w:rPr>
                <w:rFonts w:ascii="Verdana" w:hAnsi="Verdana"/>
                <w:b w:val="0"/>
                <w:sz w:val="16"/>
              </w:rPr>
              <w:t>001023</w:t>
            </w:r>
          </w:p>
        </w:tc>
        <w:tc>
          <w:tcPr>
            <w:tcW w:type="dxa" w:w="1514"/>
          </w:tcPr>
          <w:p>
            <w:r/>
            <w:r>
              <w:rPr>
                <w:rFonts w:ascii="Verdana" w:hAnsi="Verdana"/>
                <w:b w:val="0"/>
                <w:sz w:val="16"/>
              </w:rPr>
              <w:t>Observation sequence number</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9</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001024</w:t>
            </w:r>
          </w:p>
        </w:tc>
        <w:tc>
          <w:tcPr>
            <w:tcW w:type="dxa" w:w="1514"/>
          </w:tcPr>
          <w:p>
            <w:r/>
            <w:r>
              <w:rPr>
                <w:rFonts w:ascii="Verdana" w:hAnsi="Verdana"/>
                <w:b w:val="0"/>
                <w:sz w:val="16"/>
              </w:rPr>
              <w:t>Wind speed source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001025</w:t>
            </w:r>
          </w:p>
        </w:tc>
        <w:tc>
          <w:tcPr>
            <w:tcW w:type="dxa" w:w="1514"/>
          </w:tcPr>
          <w:p>
            <w:r/>
            <w:r>
              <w:rPr>
                <w:rFonts w:ascii="Verdana" w:hAnsi="Verdana"/>
                <w:b w:val="0"/>
                <w:sz w:val="16"/>
              </w:rPr>
              <w:t>Storm identifier</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24</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Note 148: The storm identifier (descriptor 0 01 025) has the following meaning: the first two characters shall be a numeric sequence number assigned by the originator of the message; the third character is a letter indicating the ocean basin where the storm is located, as follows:W NW Pacific OceanE NE Pacific Ocean to 140°WC NE Pacific Ocean 140°W - 180°WL N Atlantic Ocean, including Caribbean and Gulf of Mexico A N Arabian Sea B Bay of Bengal S S Indian Ocean P S Pacific Ocean F RSMC Nadi's zone in South Pacific U Australia O South China Sea T East China Sea There is no requirement that differing observers coordinate sequence numbers even though they both may be reporting the same storm.</w:t>
            </w:r>
          </w:p>
        </w:tc>
      </w:tr>
      <w:tr>
        <w:trPr>
          <w:cantSplit/>
        </w:trPr>
        <w:tc>
          <w:tcPr>
            <w:tcW w:type="dxa" w:w="1514"/>
          </w:tcPr>
          <w:p>
            <w:r/>
            <w:r>
              <w:rPr>
                <w:rFonts w:ascii="Verdana" w:hAnsi="Verdana"/>
                <w:b w:val="0"/>
                <w:sz w:val="16"/>
              </w:rPr>
              <w:t>001026</w:t>
            </w:r>
          </w:p>
        </w:tc>
        <w:tc>
          <w:tcPr>
            <w:tcW w:type="dxa" w:w="1514"/>
          </w:tcPr>
          <w:p>
            <w:r/>
            <w:r>
              <w:rPr>
                <w:rFonts w:ascii="Verdana" w:hAnsi="Verdana"/>
                <w:b w:val="0"/>
                <w:sz w:val="16"/>
              </w:rPr>
              <w:t>WMO storm name</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64</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Note 43: Separation of single level satellite data into sets of BUFR messages helps compression and results inefficient data transmission and storage.</w:t>
            </w:r>
          </w:p>
        </w:tc>
      </w:tr>
      <w:tr>
        <w:trPr>
          <w:cantSplit/>
        </w:trPr>
        <w:tc>
          <w:tcPr>
            <w:tcW w:type="dxa" w:w="1514"/>
          </w:tcPr>
          <w:p>
            <w:r/>
            <w:r>
              <w:rPr>
                <w:rFonts w:ascii="Verdana" w:hAnsi="Verdana"/>
                <w:b w:val="0"/>
                <w:sz w:val="16"/>
              </w:rPr>
              <w:t>001027</w:t>
            </w:r>
          </w:p>
        </w:tc>
        <w:tc>
          <w:tcPr>
            <w:tcW w:type="dxa" w:w="1514"/>
          </w:tcPr>
          <w:p>
            <w:r/>
            <w:r>
              <w:rPr>
                <w:rFonts w:ascii="Verdana" w:hAnsi="Verdana"/>
                <w:b w:val="0"/>
                <w:sz w:val="16"/>
              </w:rPr>
              <w:t>WMO long storm name</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80</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Note 182: WMO long storm name (descriptor 0 01 027): the storm name "Nameless" shall be used in those cases where an identifiable tropical disturbance has not reached tropical storm strength and has not been assigned an official name.</w:t>
            </w:r>
          </w:p>
        </w:tc>
      </w:tr>
      <w:tr>
        <w:trPr>
          <w:cantSplit/>
        </w:trPr>
        <w:tc>
          <w:tcPr>
            <w:tcW w:type="dxa" w:w="1514"/>
          </w:tcPr>
          <w:p>
            <w:r/>
            <w:r>
              <w:rPr>
                <w:rFonts w:ascii="Verdana" w:hAnsi="Verdana"/>
                <w:b w:val="0"/>
                <w:sz w:val="16"/>
              </w:rPr>
              <w:t>001028</w:t>
            </w:r>
          </w:p>
        </w:tc>
        <w:tc>
          <w:tcPr>
            <w:tcW w:type="dxa" w:w="1514"/>
          </w:tcPr>
          <w:p>
            <w:r/>
            <w:r>
              <w:rPr>
                <w:rFonts w:ascii="Verdana" w:hAnsi="Verdana"/>
                <w:b w:val="0"/>
                <w:sz w:val="16"/>
              </w:rPr>
              <w:t>Aerosol optical depth (AOD) source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001029</w:t>
            </w:r>
          </w:p>
        </w:tc>
        <w:tc>
          <w:tcPr>
            <w:tcW w:type="dxa" w:w="1514"/>
          </w:tcPr>
          <w:p>
            <w:r/>
            <w:r>
              <w:rPr>
                <w:rFonts w:ascii="Verdana" w:hAnsi="Verdana"/>
                <w:b w:val="0"/>
                <w:sz w:val="16"/>
              </w:rPr>
              <w:t>SSI source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001030</w:t>
            </w:r>
          </w:p>
        </w:tc>
        <w:tc>
          <w:tcPr>
            <w:tcW w:type="dxa" w:w="1514"/>
          </w:tcPr>
          <w:p>
            <w:r/>
            <w:r>
              <w:rPr>
                <w:rFonts w:ascii="Verdana" w:hAnsi="Verdana"/>
                <w:b w:val="0"/>
                <w:sz w:val="16"/>
              </w:rPr>
              <w:t>Numerical model identifier</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128</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Note 153: The value of this feature could be a string of characters, which contain the name of the model and other useful elements such as the model mesh.</w:t>
            </w:r>
          </w:p>
        </w:tc>
      </w:tr>
      <w:tr>
        <w:trPr>
          <w:cantSplit/>
        </w:trPr>
        <w:tc>
          <w:tcPr>
            <w:tcW w:type="dxa" w:w="1514"/>
          </w:tcPr>
          <w:p>
            <w:r/>
            <w:r>
              <w:rPr>
                <w:rFonts w:ascii="Verdana" w:hAnsi="Verdana"/>
                <w:b w:val="0"/>
                <w:sz w:val="16"/>
              </w:rPr>
              <w:t>001031</w:t>
            </w:r>
          </w:p>
        </w:tc>
        <w:tc>
          <w:tcPr>
            <w:tcW w:type="dxa" w:w="1514"/>
          </w:tcPr>
          <w:p>
            <w:r/>
            <w:r>
              <w:rPr>
                <w:rFonts w:ascii="Verdana" w:hAnsi="Verdana"/>
                <w:b w:val="0"/>
                <w:sz w:val="16"/>
              </w:rPr>
              <w:t>Identification of originating/generating centre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t>Note 44: Sequence 3 09 030 is deprecated because of incorrect usage of descriptor 0 04 015; sequence 3 09 031 should be used instead.</w:t>
            </w:r>
          </w:p>
        </w:tc>
      </w:tr>
      <w:tr>
        <w:trPr>
          <w:cantSplit/>
        </w:trPr>
        <w:tc>
          <w:tcPr>
            <w:tcW w:type="dxa" w:w="1514"/>
          </w:tcPr>
          <w:p>
            <w:r/>
            <w:r>
              <w:rPr>
                <w:rFonts w:ascii="Verdana" w:hAnsi="Verdana"/>
                <w:b w:val="0"/>
                <w:sz w:val="16"/>
              </w:rPr>
              <w:t>001032</w:t>
            </w:r>
          </w:p>
        </w:tc>
        <w:tc>
          <w:tcPr>
            <w:tcW w:type="dxa" w:w="1514"/>
          </w:tcPr>
          <w:p>
            <w:r/>
            <w:r>
              <w:rPr>
                <w:rFonts w:ascii="Verdana" w:hAnsi="Verdana"/>
                <w:b w:val="0"/>
                <w:sz w:val="16"/>
              </w:rPr>
              <w:t>Generating application</w:t>
            </w:r>
          </w:p>
        </w:tc>
        <w:tc>
          <w:tcPr>
            <w:tcW w:type="dxa" w:w="1514"/>
          </w:tcPr>
          <w:p>
            <w:r/>
            <w:r>
              <w:rPr>
                <w:rFonts w:ascii="Verdana" w:hAnsi="Verdana"/>
                <w:b w:val="0"/>
                <w:sz w:val="16"/>
              </w:rPr>
              <w:t>Code table defined by originating/generating centre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Note 175: Where a centre other than the originating centre generates quality information, replacement or substitute values, and/or statistical information, the centre may be indicated by using 0 01 033. | Note 21: Front direction (towards which the front is moving) must always be given as it is needed for plotting purposes. A front direction with a front speed of zero would indicate a slow front. A value in the code table exists to represent a quasi-stationary front. | Note 38: n/a</w:t>
            </w:r>
          </w:p>
        </w:tc>
      </w:tr>
      <w:tr>
        <w:trPr>
          <w:cantSplit/>
        </w:trPr>
        <w:tc>
          <w:tcPr>
            <w:tcW w:type="dxa" w:w="1514"/>
          </w:tcPr>
          <w:p>
            <w:r/>
            <w:r>
              <w:rPr>
                <w:rFonts w:ascii="Verdana" w:hAnsi="Verdana"/>
                <w:b w:val="0"/>
                <w:sz w:val="16"/>
              </w:rPr>
              <w:t>001033</w:t>
            </w:r>
          </w:p>
        </w:tc>
        <w:tc>
          <w:tcPr>
            <w:tcW w:type="dxa" w:w="1514"/>
          </w:tcPr>
          <w:p>
            <w:r/>
            <w:r>
              <w:rPr>
                <w:rFonts w:ascii="Verdana" w:hAnsi="Verdana"/>
                <w:b w:val="0"/>
                <w:sz w:val="16"/>
              </w:rPr>
              <w:t>Identification of originating/generating centre</w:t>
            </w:r>
          </w:p>
        </w:tc>
        <w:tc>
          <w:tcPr>
            <w:tcW w:type="dxa" w:w="1514"/>
          </w:tcPr>
          <w:p>
            <w:r/>
            <w:r>
              <w:rPr>
                <w:rFonts w:ascii="Verdana" w:hAnsi="Verdana"/>
                <w:b w:val="0"/>
                <w:sz w:val="16"/>
              </w:rPr>
              <w:t>Common Code table C-1</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Common Code table C-1</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001034</w:t>
            </w:r>
          </w:p>
        </w:tc>
        <w:tc>
          <w:tcPr>
            <w:tcW w:type="dxa" w:w="1514"/>
          </w:tcPr>
          <w:p>
            <w:r/>
            <w:r>
              <w:rPr>
                <w:rFonts w:ascii="Verdana" w:hAnsi="Verdana"/>
                <w:b w:val="0"/>
                <w:sz w:val="16"/>
              </w:rPr>
              <w:t>Identification of originating/generating sub-centre</w:t>
            </w:r>
          </w:p>
        </w:tc>
        <w:tc>
          <w:tcPr>
            <w:tcW w:type="dxa" w:w="1514"/>
          </w:tcPr>
          <w:p>
            <w:r/>
            <w:r>
              <w:rPr>
                <w:rFonts w:ascii="Verdana" w:hAnsi="Verdana"/>
                <w:b w:val="0"/>
                <w:sz w:val="16"/>
              </w:rPr>
              <w:t>Common Code table C-12</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Common Code table C-12</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001035</w:t>
            </w:r>
          </w:p>
        </w:tc>
        <w:tc>
          <w:tcPr>
            <w:tcW w:type="dxa" w:w="1514"/>
          </w:tcPr>
          <w:p>
            <w:r/>
            <w:r>
              <w:rPr>
                <w:rFonts w:ascii="Verdana" w:hAnsi="Verdana"/>
                <w:b w:val="0"/>
                <w:sz w:val="16"/>
              </w:rPr>
              <w:t>Originating centre</w:t>
            </w:r>
          </w:p>
        </w:tc>
        <w:tc>
          <w:tcPr>
            <w:tcW w:type="dxa" w:w="1514"/>
          </w:tcPr>
          <w:p>
            <w:r/>
            <w:r>
              <w:rPr>
                <w:rFonts w:ascii="Verdana" w:hAnsi="Verdana"/>
                <w:b w:val="0"/>
                <w:sz w:val="16"/>
              </w:rPr>
              <w:t>Common Code table C-11</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Common Code table C-11</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001036</w:t>
            </w:r>
          </w:p>
        </w:tc>
        <w:tc>
          <w:tcPr>
            <w:tcW w:type="dxa" w:w="1514"/>
          </w:tcPr>
          <w:p>
            <w:r/>
            <w:r>
              <w:rPr>
                <w:rFonts w:ascii="Verdana" w:hAnsi="Verdana"/>
                <w:b w:val="0"/>
                <w:sz w:val="16"/>
              </w:rPr>
              <w:t>Agency in charge of operating the observing platform</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20</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001037</w:t>
            </w:r>
          </w:p>
        </w:tc>
        <w:tc>
          <w:tcPr>
            <w:tcW w:type="dxa" w:w="1514"/>
          </w:tcPr>
          <w:p>
            <w:r/>
            <w:r>
              <w:rPr>
                <w:rFonts w:ascii="Verdana" w:hAnsi="Verdana"/>
                <w:b w:val="0"/>
                <w:sz w:val="16"/>
              </w:rPr>
              <w:t>SIGMET sequence identifier</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24</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001038</w:t>
            </w:r>
          </w:p>
        </w:tc>
        <w:tc>
          <w:tcPr>
            <w:tcW w:type="dxa" w:w="1514"/>
          </w:tcPr>
          <w:p>
            <w:r/>
            <w:r>
              <w:rPr>
                <w:rFonts w:ascii="Verdana" w:hAnsi="Verdana"/>
                <w:b w:val="0"/>
                <w:sz w:val="16"/>
              </w:rPr>
              <w:t>Source of sea ice fraction</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001039</w:t>
            </w:r>
          </w:p>
        </w:tc>
        <w:tc>
          <w:tcPr>
            <w:tcW w:type="dxa" w:w="1514"/>
          </w:tcPr>
          <w:p>
            <w:r/>
            <w:r>
              <w:rPr>
                <w:rFonts w:ascii="Verdana" w:hAnsi="Verdana"/>
                <w:b w:val="0"/>
                <w:sz w:val="16"/>
              </w:rPr>
              <w:t>Graphical Area Forecast (GFA) sequence identifier</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40</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001040</w:t>
            </w:r>
          </w:p>
        </w:tc>
        <w:tc>
          <w:tcPr>
            <w:tcW w:type="dxa" w:w="1514"/>
          </w:tcPr>
          <w:p>
            <w:r/>
            <w:r>
              <w:rPr>
                <w:rFonts w:ascii="Verdana" w:hAnsi="Verdana"/>
                <w:b w:val="0"/>
                <w:sz w:val="16"/>
              </w:rPr>
              <w:t>Processing centre ID code</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48</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001041</w:t>
            </w:r>
          </w:p>
        </w:tc>
        <w:tc>
          <w:tcPr>
            <w:tcW w:type="dxa" w:w="1514"/>
          </w:tcPr>
          <w:p>
            <w:r/>
            <w:r>
              <w:rPr>
                <w:rFonts w:ascii="Verdana" w:hAnsi="Verdana"/>
                <w:b w:val="0"/>
                <w:sz w:val="16"/>
              </w:rPr>
              <w:t>Absolute platform velocity - first component</w:t>
            </w:r>
          </w:p>
        </w:tc>
        <w:tc>
          <w:tcPr>
            <w:tcW w:type="dxa" w:w="1514"/>
          </w:tcPr>
          <w:p>
            <w:r/>
            <w:r>
              <w:rPr>
                <w:rFonts w:ascii="Verdana" w:hAnsi="Verdana"/>
                <w:b w:val="0"/>
                <w:sz w:val="16"/>
              </w:rPr>
              <w:t>m/s</w:t>
            </w:r>
          </w:p>
        </w:tc>
        <w:tc>
          <w:tcPr>
            <w:tcW w:type="dxa" w:w="1514"/>
          </w:tcPr>
          <w:p>
            <w:r/>
            <w:r>
              <w:rPr>
                <w:rFonts w:ascii="Verdana" w:hAnsi="Verdana"/>
                <w:b w:val="0"/>
                <w:sz w:val="16"/>
              </w:rPr>
              <w:t>5</w:t>
            </w:r>
          </w:p>
        </w:tc>
        <w:tc>
          <w:tcPr>
            <w:tcW w:type="dxa" w:w="1514"/>
          </w:tcPr>
          <w:p>
            <w:r/>
            <w:r>
              <w:rPr>
                <w:rFonts w:ascii="Verdana" w:hAnsi="Verdana"/>
                <w:b w:val="0"/>
                <w:sz w:val="16"/>
              </w:rPr>
              <w:t>-1073741824</w:t>
            </w:r>
          </w:p>
        </w:tc>
        <w:tc>
          <w:tcPr>
            <w:tcW w:type="dxa" w:w="1514"/>
          </w:tcPr>
          <w:p>
            <w:r/>
            <w:r>
              <w:rPr>
                <w:rFonts w:ascii="Verdana" w:hAnsi="Verdana"/>
                <w:b w:val="0"/>
                <w:sz w:val="16"/>
              </w:rPr>
              <w:t>31</w:t>
            </w:r>
          </w:p>
        </w:tc>
        <w:tc>
          <w:tcPr>
            <w:tcW w:type="dxa" w:w="1514"/>
          </w:tcPr>
          <w:p>
            <w:r/>
            <w:r>
              <w:rPr>
                <w:rFonts w:ascii="Verdana" w:hAnsi="Verdana"/>
                <w:b w:val="0"/>
                <w:sz w:val="16"/>
              </w:rPr>
              <w:t>m/s</w:t>
            </w:r>
          </w:p>
        </w:tc>
        <w:tc>
          <w:tcPr>
            <w:tcW w:type="dxa" w:w="1514"/>
          </w:tcPr>
          <w:p>
            <w:r/>
            <w:r>
              <w:rPr>
                <w:rFonts w:ascii="Verdana" w:hAnsi="Verdana"/>
                <w:b w:val="0"/>
                <w:sz w:val="16"/>
              </w:rPr>
              <w:t>5</w:t>
            </w:r>
          </w:p>
        </w:tc>
        <w:tc>
          <w:tcPr>
            <w:tcW w:type="dxa" w:w="1514"/>
          </w:tcPr>
          <w:p>
            <w:r/>
            <w:r>
              <w:rPr>
                <w:rFonts w:ascii="Verdana" w:hAnsi="Verdana"/>
                <w:b w:val="0"/>
                <w:sz w:val="16"/>
              </w:rPr>
              <w:t>10</w:t>
            </w:r>
          </w:p>
        </w:tc>
        <w:tc>
          <w:tcPr>
            <w:tcW w:type="dxa" w:w="1514"/>
          </w:tcPr>
          <w:p>
            <w:r/>
            <w:r>
              <w:rPr>
                <w:rFonts w:ascii="Verdana" w:hAnsi="Verdana"/>
                <w:b w:val="0"/>
                <w:sz w:val="16"/>
              </w:rPr>
              <w:t>Note 134: The components of absolute platform velocity (0 01 041, 0 01 042, 0 01 043) are defined as follows:- First component: From the Earth's centre to 0 degree longitude at the Equator: velocity of the platform along this line relative to the Earth's centre.- Second component: From the Earth's centre to 90 degrees East longitude at the Equator: velocity of the platform along this line relative to the Earth's centre.- Third component: From the Earth's centre to the north pole: velocity of the platform along this line relative to the Earth's centre. | Note 154: The values for descriptors 0 01 041, 0 01 042 and 0 01 043 have been chosen to be suitable for polar orbiting satellites in approximately Sun-synchronous orbits. Geostationary orbits would require greater data widths for distance and slightly less for speed. | Note 95: Left handed x, y and z axes have been chosen for descriptors 0 01 041, 0 01 042 and 0 01 043.</w:t>
            </w:r>
          </w:p>
        </w:tc>
      </w:tr>
      <w:tr>
        <w:trPr>
          <w:cantSplit/>
        </w:trPr>
        <w:tc>
          <w:tcPr>
            <w:tcW w:type="dxa" w:w="1514"/>
          </w:tcPr>
          <w:p>
            <w:r/>
            <w:r>
              <w:rPr>
                <w:rFonts w:ascii="Verdana" w:hAnsi="Verdana"/>
                <w:b w:val="0"/>
                <w:sz w:val="16"/>
              </w:rPr>
              <w:t>001042</w:t>
            </w:r>
          </w:p>
        </w:tc>
        <w:tc>
          <w:tcPr>
            <w:tcW w:type="dxa" w:w="1514"/>
          </w:tcPr>
          <w:p>
            <w:r/>
            <w:r>
              <w:rPr>
                <w:rFonts w:ascii="Verdana" w:hAnsi="Verdana"/>
                <w:b w:val="0"/>
                <w:sz w:val="16"/>
              </w:rPr>
              <w:t>Absolute platform velocity - second component</w:t>
            </w:r>
          </w:p>
        </w:tc>
        <w:tc>
          <w:tcPr>
            <w:tcW w:type="dxa" w:w="1514"/>
          </w:tcPr>
          <w:p>
            <w:r/>
            <w:r>
              <w:rPr>
                <w:rFonts w:ascii="Verdana" w:hAnsi="Verdana"/>
                <w:b w:val="0"/>
                <w:sz w:val="16"/>
              </w:rPr>
              <w:t>m/s</w:t>
            </w:r>
          </w:p>
        </w:tc>
        <w:tc>
          <w:tcPr>
            <w:tcW w:type="dxa" w:w="1514"/>
          </w:tcPr>
          <w:p>
            <w:r/>
            <w:r>
              <w:rPr>
                <w:rFonts w:ascii="Verdana" w:hAnsi="Verdana"/>
                <w:b w:val="0"/>
                <w:sz w:val="16"/>
              </w:rPr>
              <w:t>5</w:t>
            </w:r>
          </w:p>
        </w:tc>
        <w:tc>
          <w:tcPr>
            <w:tcW w:type="dxa" w:w="1514"/>
          </w:tcPr>
          <w:p>
            <w:r/>
            <w:r>
              <w:rPr>
                <w:rFonts w:ascii="Verdana" w:hAnsi="Verdana"/>
                <w:b w:val="0"/>
                <w:sz w:val="16"/>
              </w:rPr>
              <w:t>-1073741824</w:t>
            </w:r>
          </w:p>
        </w:tc>
        <w:tc>
          <w:tcPr>
            <w:tcW w:type="dxa" w:w="1514"/>
          </w:tcPr>
          <w:p>
            <w:r/>
            <w:r>
              <w:rPr>
                <w:rFonts w:ascii="Verdana" w:hAnsi="Verdana"/>
                <w:b w:val="0"/>
                <w:sz w:val="16"/>
              </w:rPr>
              <w:t>31</w:t>
            </w:r>
          </w:p>
        </w:tc>
        <w:tc>
          <w:tcPr>
            <w:tcW w:type="dxa" w:w="1514"/>
          </w:tcPr>
          <w:p>
            <w:r/>
            <w:r>
              <w:rPr>
                <w:rFonts w:ascii="Verdana" w:hAnsi="Verdana"/>
                <w:b w:val="0"/>
                <w:sz w:val="16"/>
              </w:rPr>
              <w:t>m/s</w:t>
            </w:r>
          </w:p>
        </w:tc>
        <w:tc>
          <w:tcPr>
            <w:tcW w:type="dxa" w:w="1514"/>
          </w:tcPr>
          <w:p>
            <w:r/>
            <w:r>
              <w:rPr>
                <w:rFonts w:ascii="Verdana" w:hAnsi="Verdana"/>
                <w:b w:val="0"/>
                <w:sz w:val="16"/>
              </w:rPr>
              <w:t>5</w:t>
            </w:r>
          </w:p>
        </w:tc>
        <w:tc>
          <w:tcPr>
            <w:tcW w:type="dxa" w:w="1514"/>
          </w:tcPr>
          <w:p>
            <w:r/>
            <w:r>
              <w:rPr>
                <w:rFonts w:ascii="Verdana" w:hAnsi="Verdana"/>
                <w:b w:val="0"/>
                <w:sz w:val="16"/>
              </w:rPr>
              <w:t>10</w:t>
            </w:r>
          </w:p>
        </w:tc>
        <w:tc>
          <w:tcPr>
            <w:tcW w:type="dxa" w:w="1514"/>
          </w:tcPr>
          <w:p>
            <w:r/>
            <w:r>
              <w:rPr>
                <w:rFonts w:ascii="Verdana" w:hAnsi="Verdana"/>
                <w:b w:val="0"/>
                <w:sz w:val="16"/>
              </w:rPr>
              <w:t>Note 134: The components of absolute platform velocity (0 01 041, 0 01 042, 0 01 043) are defined as follows:- First component: From the Earth's centre to 0 degree longitude at the Equator: velocity of the platform along this line relative to the Earth's centre.- Second component: From the Earth's centre to 90 degrees East longitude at the Equator: velocity of the platform along this line relative to the Earth's centre.- Third component: From the Earth's centre to the north pole: velocity of the platform along this line relative to the Earth's centre. | Note 154: The values for descriptors 0 01 041, 0 01 042 and 0 01 043 have been chosen to be suitable for polar orbiting satellites in approximately Sun-synchronous orbits. Geostationary orbits would require greater data widths for distance and slightly less for speed. | Note 95: Left handed x, y and z axes have been chosen for descriptors 0 01 041, 0 01 042 and 0 01 043.</w:t>
            </w:r>
          </w:p>
        </w:tc>
      </w:tr>
      <w:tr>
        <w:trPr>
          <w:cantSplit/>
        </w:trPr>
        <w:tc>
          <w:tcPr>
            <w:tcW w:type="dxa" w:w="1514"/>
          </w:tcPr>
          <w:p>
            <w:r/>
            <w:r>
              <w:rPr>
                <w:rFonts w:ascii="Verdana" w:hAnsi="Verdana"/>
                <w:b w:val="0"/>
                <w:sz w:val="16"/>
              </w:rPr>
              <w:t>001043</w:t>
            </w:r>
          </w:p>
        </w:tc>
        <w:tc>
          <w:tcPr>
            <w:tcW w:type="dxa" w:w="1514"/>
          </w:tcPr>
          <w:p>
            <w:r/>
            <w:r>
              <w:rPr>
                <w:rFonts w:ascii="Verdana" w:hAnsi="Verdana"/>
                <w:b w:val="0"/>
                <w:sz w:val="16"/>
              </w:rPr>
              <w:t>Absolute platform velocity - third component</w:t>
            </w:r>
          </w:p>
        </w:tc>
        <w:tc>
          <w:tcPr>
            <w:tcW w:type="dxa" w:w="1514"/>
          </w:tcPr>
          <w:p>
            <w:r/>
            <w:r>
              <w:rPr>
                <w:rFonts w:ascii="Verdana" w:hAnsi="Verdana"/>
                <w:b w:val="0"/>
                <w:sz w:val="16"/>
              </w:rPr>
              <w:t>m/s</w:t>
            </w:r>
          </w:p>
        </w:tc>
        <w:tc>
          <w:tcPr>
            <w:tcW w:type="dxa" w:w="1514"/>
          </w:tcPr>
          <w:p>
            <w:r/>
            <w:r>
              <w:rPr>
                <w:rFonts w:ascii="Verdana" w:hAnsi="Verdana"/>
                <w:b w:val="0"/>
                <w:sz w:val="16"/>
              </w:rPr>
              <w:t>5</w:t>
            </w:r>
          </w:p>
        </w:tc>
        <w:tc>
          <w:tcPr>
            <w:tcW w:type="dxa" w:w="1514"/>
          </w:tcPr>
          <w:p>
            <w:r/>
            <w:r>
              <w:rPr>
                <w:rFonts w:ascii="Verdana" w:hAnsi="Verdana"/>
                <w:b w:val="0"/>
                <w:sz w:val="16"/>
              </w:rPr>
              <w:t>-1073741824</w:t>
            </w:r>
          </w:p>
        </w:tc>
        <w:tc>
          <w:tcPr>
            <w:tcW w:type="dxa" w:w="1514"/>
          </w:tcPr>
          <w:p>
            <w:r/>
            <w:r>
              <w:rPr>
                <w:rFonts w:ascii="Verdana" w:hAnsi="Verdana"/>
                <w:b w:val="0"/>
                <w:sz w:val="16"/>
              </w:rPr>
              <w:t>31</w:t>
            </w:r>
          </w:p>
        </w:tc>
        <w:tc>
          <w:tcPr>
            <w:tcW w:type="dxa" w:w="1514"/>
          </w:tcPr>
          <w:p>
            <w:r/>
            <w:r>
              <w:rPr>
                <w:rFonts w:ascii="Verdana" w:hAnsi="Verdana"/>
                <w:b w:val="0"/>
                <w:sz w:val="16"/>
              </w:rPr>
              <w:t>m/s</w:t>
            </w:r>
          </w:p>
        </w:tc>
        <w:tc>
          <w:tcPr>
            <w:tcW w:type="dxa" w:w="1514"/>
          </w:tcPr>
          <w:p>
            <w:r/>
            <w:r>
              <w:rPr>
                <w:rFonts w:ascii="Verdana" w:hAnsi="Verdana"/>
                <w:b w:val="0"/>
                <w:sz w:val="16"/>
              </w:rPr>
              <w:t>5</w:t>
            </w:r>
          </w:p>
        </w:tc>
        <w:tc>
          <w:tcPr>
            <w:tcW w:type="dxa" w:w="1514"/>
          </w:tcPr>
          <w:p>
            <w:r/>
            <w:r>
              <w:rPr>
                <w:rFonts w:ascii="Verdana" w:hAnsi="Verdana"/>
                <w:b w:val="0"/>
                <w:sz w:val="16"/>
              </w:rPr>
              <w:t>10</w:t>
            </w:r>
          </w:p>
        </w:tc>
        <w:tc>
          <w:tcPr>
            <w:tcW w:type="dxa" w:w="1514"/>
          </w:tcPr>
          <w:p>
            <w:r/>
            <w:r>
              <w:rPr>
                <w:rFonts w:ascii="Verdana" w:hAnsi="Verdana"/>
                <w:b w:val="0"/>
                <w:sz w:val="16"/>
              </w:rPr>
              <w:t>Note 134: The components of absolute platform velocity (0 01 041, 0 01 042, 0 01 043) are defined as follows:- First component: From the Earth's centre to 0 degree longitude at the Equator: velocity of the platform along this line relative to the Earth's centre.- Second component: From the Earth's centre to 90 degrees East longitude at the Equator: velocity of the platform along this line relative to the Earth's centre.- Third component: From the Earth's centre to the north pole: velocity of the platform along this line relative to the Earth's centre. | Note 154: The values for descriptors 0 01 041, 0 01 042 and 0 01 043 have been chosen to be suitable for polar orbiting satellites in approximately Sun-synchronous orbits. Geostationary orbits would require greater data widths for distance and slightly less for speed. | Note 95: Left handed x, y and z axes have been chosen for descriptors 0 01 041, 0 01 042 and 0 01 043.</w:t>
            </w:r>
          </w:p>
        </w:tc>
      </w:tr>
      <w:tr>
        <w:trPr>
          <w:cantSplit/>
        </w:trPr>
        <w:tc>
          <w:tcPr>
            <w:tcW w:type="dxa" w:w="1514"/>
          </w:tcPr>
          <w:p>
            <w:r/>
            <w:r>
              <w:rPr>
                <w:rFonts w:ascii="Verdana" w:hAnsi="Verdana"/>
                <w:b w:val="0"/>
                <w:sz w:val="16"/>
              </w:rPr>
              <w:t>001044</w:t>
            </w:r>
          </w:p>
        </w:tc>
        <w:tc>
          <w:tcPr>
            <w:tcW w:type="dxa" w:w="1514"/>
          </w:tcPr>
          <w:p>
            <w:r/>
            <w:r>
              <w:rPr>
                <w:rFonts w:ascii="Verdana" w:hAnsi="Verdana"/>
                <w:b w:val="0"/>
                <w:sz w:val="16"/>
              </w:rPr>
              <w:t>Standard generating application</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001050</w:t>
            </w:r>
          </w:p>
        </w:tc>
        <w:tc>
          <w:tcPr>
            <w:tcW w:type="dxa" w:w="1514"/>
          </w:tcPr>
          <w:p>
            <w:r/>
            <w:r>
              <w:rPr>
                <w:rFonts w:ascii="Verdana" w:hAnsi="Verdana"/>
                <w:b w:val="0"/>
                <w:sz w:val="16"/>
              </w:rPr>
              <w:t>Platform transmitter ID number</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17</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001051</w:t>
            </w:r>
          </w:p>
        </w:tc>
        <w:tc>
          <w:tcPr>
            <w:tcW w:type="dxa" w:w="1514"/>
          </w:tcPr>
          <w:p>
            <w:r/>
            <w:r>
              <w:rPr>
                <w:rFonts w:ascii="Verdana" w:hAnsi="Verdana"/>
                <w:b w:val="0"/>
                <w:sz w:val="16"/>
              </w:rPr>
              <w:t>Platform transmitter ID number</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96</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12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001052</w:t>
            </w:r>
          </w:p>
        </w:tc>
        <w:tc>
          <w:tcPr>
            <w:tcW w:type="dxa" w:w="1514"/>
          </w:tcPr>
          <w:p>
            <w:r/>
            <w:r>
              <w:rPr>
                <w:rFonts w:ascii="Verdana" w:hAnsi="Verdana"/>
                <w:b w:val="0"/>
                <w:sz w:val="16"/>
              </w:rPr>
              <w:t>Platform transmitter ID</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001053</w:t>
            </w:r>
          </w:p>
        </w:tc>
        <w:tc>
          <w:tcPr>
            <w:tcW w:type="dxa" w:w="1514"/>
          </w:tcPr>
          <w:p>
            <w:r/>
            <w:r>
              <w:rPr>
                <w:rFonts w:ascii="Verdana" w:hAnsi="Verdana"/>
                <w:b w:val="0"/>
                <w:sz w:val="16"/>
              </w:rPr>
              <w:t>Tsunameter report sequence number triggered by a tsunami event</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001060</w:t>
            </w:r>
          </w:p>
        </w:tc>
        <w:tc>
          <w:tcPr>
            <w:tcW w:type="dxa" w:w="1514"/>
          </w:tcPr>
          <w:p>
            <w:r/>
            <w:r>
              <w:rPr>
                <w:rFonts w:ascii="Verdana" w:hAnsi="Verdana"/>
                <w:b w:val="0"/>
                <w:sz w:val="16"/>
              </w:rPr>
              <w:t>Aircraft reporting point (Beacon identifier)</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64</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001062</w:t>
            </w:r>
          </w:p>
        </w:tc>
        <w:tc>
          <w:tcPr>
            <w:tcW w:type="dxa" w:w="1514"/>
          </w:tcPr>
          <w:p>
            <w:r/>
            <w:r>
              <w:rPr>
                <w:rFonts w:ascii="Verdana" w:hAnsi="Verdana"/>
                <w:b w:val="0"/>
                <w:sz w:val="16"/>
              </w:rPr>
              <w:t>Short ICAO location indicator</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32</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001063</w:t>
            </w:r>
          </w:p>
        </w:tc>
        <w:tc>
          <w:tcPr>
            <w:tcW w:type="dxa" w:w="1514"/>
          </w:tcPr>
          <w:p>
            <w:r/>
            <w:r>
              <w:rPr>
                <w:rFonts w:ascii="Verdana" w:hAnsi="Verdana"/>
                <w:b w:val="0"/>
                <w:sz w:val="16"/>
              </w:rPr>
              <w:t>ICAO location indicator</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64</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001064</w:t>
            </w:r>
          </w:p>
        </w:tc>
        <w:tc>
          <w:tcPr>
            <w:tcW w:type="dxa" w:w="1514"/>
          </w:tcPr>
          <w:p>
            <w:r/>
            <w:r>
              <w:rPr>
                <w:rFonts w:ascii="Verdana" w:hAnsi="Verdana"/>
                <w:b w:val="0"/>
                <w:sz w:val="16"/>
              </w:rPr>
              <w:t>Runway designator</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32</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001065</w:t>
            </w:r>
          </w:p>
        </w:tc>
        <w:tc>
          <w:tcPr>
            <w:tcW w:type="dxa" w:w="1514"/>
          </w:tcPr>
          <w:p>
            <w:r/>
            <w:r>
              <w:rPr>
                <w:rFonts w:ascii="Verdana" w:hAnsi="Verdana"/>
                <w:b w:val="0"/>
                <w:sz w:val="16"/>
              </w:rPr>
              <w:t>ICAO region identifier</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256</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32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001075</w:t>
            </w:r>
          </w:p>
        </w:tc>
        <w:tc>
          <w:tcPr>
            <w:tcW w:type="dxa" w:w="1514"/>
          </w:tcPr>
          <w:p>
            <w:r/>
            <w:r>
              <w:rPr>
                <w:rFonts w:ascii="Verdana" w:hAnsi="Verdana"/>
                <w:b w:val="0"/>
                <w:sz w:val="16"/>
              </w:rPr>
              <w:t>Tide station identification</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40</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001079</w:t>
            </w:r>
          </w:p>
        </w:tc>
        <w:tc>
          <w:tcPr>
            <w:tcW w:type="dxa" w:w="1514"/>
          </w:tcPr>
          <w:p>
            <w:r/>
            <w:r>
              <w:rPr>
                <w:rFonts w:ascii="Verdana" w:hAnsi="Verdana"/>
                <w:b w:val="0"/>
                <w:sz w:val="16"/>
              </w:rPr>
              <w:t>Unique identifier for the profile</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64</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001080</w:t>
            </w:r>
          </w:p>
        </w:tc>
        <w:tc>
          <w:tcPr>
            <w:tcW w:type="dxa" w:w="1514"/>
          </w:tcPr>
          <w:p>
            <w:r/>
            <w:r>
              <w:rPr>
                <w:rFonts w:ascii="Verdana" w:hAnsi="Verdana"/>
                <w:b w:val="0"/>
                <w:sz w:val="16"/>
              </w:rPr>
              <w:t>Ship line number according to SOOP</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32</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001081</w:t>
            </w:r>
          </w:p>
        </w:tc>
        <w:tc>
          <w:tcPr>
            <w:tcW w:type="dxa" w:w="1514"/>
          </w:tcPr>
          <w:p>
            <w:r/>
            <w:r>
              <w:rPr>
                <w:rFonts w:ascii="Verdana" w:hAnsi="Verdana"/>
                <w:b w:val="0"/>
                <w:sz w:val="16"/>
              </w:rPr>
              <w:t>Radiosonde serial number</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160</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20</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001082</w:t>
            </w:r>
          </w:p>
        </w:tc>
        <w:tc>
          <w:tcPr>
            <w:tcW w:type="dxa" w:w="1514"/>
          </w:tcPr>
          <w:p>
            <w:r/>
            <w:r>
              <w:rPr>
                <w:rFonts w:ascii="Verdana" w:hAnsi="Verdana"/>
                <w:b w:val="0"/>
                <w:sz w:val="16"/>
              </w:rPr>
              <w:t>Radiosonde ascension number</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Note 45: Some types of stations do not have the ability to identify the surface condition accurately. They can only report conditions such as "not dry" or "glazed". The code table for road surface conditions has been adjusted accordingly.</w:t>
            </w:r>
          </w:p>
        </w:tc>
      </w:tr>
      <w:tr>
        <w:trPr>
          <w:cantSplit/>
        </w:trPr>
        <w:tc>
          <w:tcPr>
            <w:tcW w:type="dxa" w:w="1514"/>
          </w:tcPr>
          <w:p>
            <w:r/>
            <w:r>
              <w:rPr>
                <w:rFonts w:ascii="Verdana" w:hAnsi="Verdana"/>
                <w:b w:val="0"/>
                <w:sz w:val="16"/>
              </w:rPr>
              <w:t>001083</w:t>
            </w:r>
          </w:p>
        </w:tc>
        <w:tc>
          <w:tcPr>
            <w:tcW w:type="dxa" w:w="1514"/>
          </w:tcPr>
          <w:p>
            <w:r/>
            <w:r>
              <w:rPr>
                <w:rFonts w:ascii="Verdana" w:hAnsi="Verdana"/>
                <w:b w:val="0"/>
                <w:sz w:val="16"/>
              </w:rPr>
              <w:t>Radiosonde release number</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t>Note 45: Some types of stations do not have the ability to identify the surface condition accurately. They can only report conditions such as "not dry" or "glazed". The code table for road surface conditions has been adjusted accordingly.</w:t>
            </w:r>
          </w:p>
        </w:tc>
      </w:tr>
      <w:tr>
        <w:trPr>
          <w:cantSplit/>
        </w:trPr>
        <w:tc>
          <w:tcPr>
            <w:tcW w:type="dxa" w:w="1514"/>
          </w:tcPr>
          <w:p>
            <w:r/>
            <w:r>
              <w:rPr>
                <w:rFonts w:ascii="Verdana" w:hAnsi="Verdana"/>
                <w:b w:val="0"/>
                <w:sz w:val="16"/>
              </w:rPr>
              <w:t>001085</w:t>
            </w:r>
          </w:p>
        </w:tc>
        <w:tc>
          <w:tcPr>
            <w:tcW w:type="dxa" w:w="1514"/>
          </w:tcPr>
          <w:p>
            <w:r/>
            <w:r>
              <w:rPr>
                <w:rFonts w:ascii="Verdana" w:hAnsi="Verdana"/>
                <w:b w:val="0"/>
                <w:sz w:val="16"/>
              </w:rPr>
              <w:t>Observing platform manufacturer's model</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160</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20</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001086</w:t>
            </w:r>
          </w:p>
        </w:tc>
        <w:tc>
          <w:tcPr>
            <w:tcW w:type="dxa" w:w="1514"/>
          </w:tcPr>
          <w:p>
            <w:r/>
            <w:r>
              <w:rPr>
                <w:rFonts w:ascii="Verdana" w:hAnsi="Verdana"/>
                <w:b w:val="0"/>
                <w:sz w:val="16"/>
              </w:rPr>
              <w:t>Observing platform manufacturer's serial number</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256</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32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001087</w:t>
            </w:r>
          </w:p>
        </w:tc>
        <w:tc>
          <w:tcPr>
            <w:tcW w:type="dxa" w:w="1514"/>
          </w:tcPr>
          <w:p>
            <w:r/>
            <w:r>
              <w:rPr>
                <w:rFonts w:ascii="Verdana" w:hAnsi="Verdana"/>
                <w:b w:val="0"/>
                <w:sz w:val="16"/>
              </w:rPr>
              <w:t>WMO marine observing platform extended identifier</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23</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001090</w:t>
            </w:r>
          </w:p>
        </w:tc>
        <w:tc>
          <w:tcPr>
            <w:tcW w:type="dxa" w:w="1514"/>
          </w:tcPr>
          <w:p>
            <w:r/>
            <w:r>
              <w:rPr>
                <w:rFonts w:ascii="Verdana" w:hAnsi="Verdana"/>
                <w:b w:val="0"/>
                <w:sz w:val="16"/>
              </w:rPr>
              <w:t>Technique for making up initial perturbations</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001091</w:t>
            </w:r>
          </w:p>
        </w:tc>
        <w:tc>
          <w:tcPr>
            <w:tcW w:type="dxa" w:w="1514"/>
          </w:tcPr>
          <w:p>
            <w:r/>
            <w:r>
              <w:rPr>
                <w:rFonts w:ascii="Verdana" w:hAnsi="Verdana"/>
                <w:b w:val="0"/>
                <w:sz w:val="16"/>
              </w:rPr>
              <w:t>Ensemble member number</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001092</w:t>
            </w:r>
          </w:p>
        </w:tc>
        <w:tc>
          <w:tcPr>
            <w:tcW w:type="dxa" w:w="1514"/>
          </w:tcPr>
          <w:p>
            <w:r/>
            <w:r>
              <w:rPr>
                <w:rFonts w:ascii="Verdana" w:hAnsi="Verdana"/>
                <w:b w:val="0"/>
                <w:sz w:val="16"/>
              </w:rPr>
              <w:t>Type of ensemble forecast</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001093</w:t>
            </w:r>
          </w:p>
        </w:tc>
        <w:tc>
          <w:tcPr>
            <w:tcW w:type="dxa" w:w="1514"/>
          </w:tcPr>
          <w:p>
            <w:r/>
            <w:r>
              <w:rPr>
                <w:rFonts w:ascii="Verdana" w:hAnsi="Verdana"/>
                <w:b w:val="0"/>
                <w:sz w:val="16"/>
              </w:rPr>
              <w:t>Balloon lot number</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96</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12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001094</w:t>
            </w:r>
          </w:p>
        </w:tc>
        <w:tc>
          <w:tcPr>
            <w:tcW w:type="dxa" w:w="1514"/>
          </w:tcPr>
          <w:p>
            <w:r/>
            <w:r>
              <w:rPr>
                <w:rFonts w:ascii="Verdana" w:hAnsi="Verdana"/>
                <w:b w:val="0"/>
                <w:sz w:val="16"/>
              </w:rPr>
              <w:t>WBAN number</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17</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001095</w:t>
            </w:r>
          </w:p>
        </w:tc>
        <w:tc>
          <w:tcPr>
            <w:tcW w:type="dxa" w:w="1514"/>
          </w:tcPr>
          <w:p>
            <w:r/>
            <w:r>
              <w:rPr>
                <w:rFonts w:ascii="Verdana" w:hAnsi="Verdana"/>
                <w:b w:val="0"/>
                <w:sz w:val="16"/>
              </w:rPr>
              <w:t>Observer identification</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32</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001096</w:t>
            </w:r>
          </w:p>
        </w:tc>
        <w:tc>
          <w:tcPr>
            <w:tcW w:type="dxa" w:w="1514"/>
          </w:tcPr>
          <w:p>
            <w:r/>
            <w:r>
              <w:rPr>
                <w:rFonts w:ascii="Verdana" w:hAnsi="Verdana"/>
                <w:b w:val="0"/>
                <w:sz w:val="16"/>
              </w:rPr>
              <w:t>Station acquisition</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160</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20</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001099</w:t>
            </w:r>
          </w:p>
        </w:tc>
        <w:tc>
          <w:tcPr>
            <w:tcW w:type="dxa" w:w="1514"/>
          </w:tcPr>
          <w:p>
            <w:r/>
            <w:r>
              <w:rPr>
                <w:rFonts w:ascii="Verdana" w:hAnsi="Verdana"/>
                <w:b w:val="0"/>
                <w:sz w:val="16"/>
              </w:rPr>
              <w:t>Unique product definition</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248</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31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001101</w:t>
            </w:r>
          </w:p>
        </w:tc>
        <w:tc>
          <w:tcPr>
            <w:tcW w:type="dxa" w:w="1514"/>
          </w:tcPr>
          <w:p>
            <w:r/>
            <w:r>
              <w:rPr>
                <w:rFonts w:ascii="Verdana" w:hAnsi="Verdana"/>
                <w:b w:val="0"/>
                <w:sz w:val="16"/>
              </w:rPr>
              <w:t>State identifier</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001102</w:t>
            </w:r>
          </w:p>
        </w:tc>
        <w:tc>
          <w:tcPr>
            <w:tcW w:type="dxa" w:w="1514"/>
          </w:tcPr>
          <w:p>
            <w:r/>
            <w:r>
              <w:rPr>
                <w:rFonts w:ascii="Verdana" w:hAnsi="Verdana"/>
                <w:b w:val="0"/>
                <w:sz w:val="16"/>
              </w:rPr>
              <w:t>National station number</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30</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9</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001103</w:t>
            </w:r>
          </w:p>
        </w:tc>
        <w:tc>
          <w:tcPr>
            <w:tcW w:type="dxa" w:w="1514"/>
          </w:tcPr>
          <w:p>
            <w:r/>
            <w:r>
              <w:rPr>
                <w:rFonts w:ascii="Verdana" w:hAnsi="Verdana"/>
                <w:b w:val="0"/>
                <w:sz w:val="16"/>
              </w:rPr>
              <w:t>IMO Number. Unique Lloyd's register</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24</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001104</w:t>
            </w:r>
          </w:p>
        </w:tc>
        <w:tc>
          <w:tcPr>
            <w:tcW w:type="dxa" w:w="1514"/>
          </w:tcPr>
          <w:p>
            <w:r/>
            <w:r>
              <w:rPr>
                <w:rFonts w:ascii="Verdana" w:hAnsi="Verdana"/>
                <w:b w:val="0"/>
                <w:sz w:val="16"/>
              </w:rPr>
              <w:t>State/federal state identifier</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32</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001105</w:t>
            </w:r>
          </w:p>
        </w:tc>
        <w:tc>
          <w:tcPr>
            <w:tcW w:type="dxa" w:w="1514"/>
          </w:tcPr>
          <w:p>
            <w:r/>
            <w:r>
              <w:rPr>
                <w:rFonts w:ascii="Verdana" w:hAnsi="Verdana"/>
                <w:b w:val="0"/>
                <w:sz w:val="16"/>
              </w:rPr>
              <w:t>Highway designator</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40</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001106</w:t>
            </w:r>
          </w:p>
        </w:tc>
        <w:tc>
          <w:tcPr>
            <w:tcW w:type="dxa" w:w="1514"/>
          </w:tcPr>
          <w:p>
            <w:r/>
            <w:r>
              <w:rPr>
                <w:rFonts w:ascii="Verdana" w:hAnsi="Verdana"/>
                <w:b w:val="0"/>
                <w:sz w:val="16"/>
              </w:rPr>
              <w:t>Location along highway as indicated by position markers</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001110</w:t>
            </w:r>
          </w:p>
        </w:tc>
        <w:tc>
          <w:tcPr>
            <w:tcW w:type="dxa" w:w="1514"/>
          </w:tcPr>
          <w:p>
            <w:r/>
            <w:r>
              <w:rPr>
                <w:rFonts w:ascii="Verdana" w:hAnsi="Verdana"/>
                <w:b w:val="0"/>
                <w:sz w:val="16"/>
              </w:rPr>
              <w:t>Aircraft tail number</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48</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001111</w:t>
            </w:r>
          </w:p>
        </w:tc>
        <w:tc>
          <w:tcPr>
            <w:tcW w:type="dxa" w:w="1514"/>
          </w:tcPr>
          <w:p>
            <w:r/>
            <w:r>
              <w:rPr>
                <w:rFonts w:ascii="Verdana" w:hAnsi="Verdana"/>
                <w:b w:val="0"/>
                <w:sz w:val="16"/>
              </w:rPr>
              <w:t>Origination airport</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24</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001112</w:t>
            </w:r>
          </w:p>
        </w:tc>
        <w:tc>
          <w:tcPr>
            <w:tcW w:type="dxa" w:w="1514"/>
          </w:tcPr>
          <w:p>
            <w:r/>
            <w:r>
              <w:rPr>
                <w:rFonts w:ascii="Verdana" w:hAnsi="Verdana"/>
                <w:b w:val="0"/>
                <w:sz w:val="16"/>
              </w:rPr>
              <w:t>Destination airport</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24</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001113</w:t>
            </w:r>
          </w:p>
        </w:tc>
        <w:tc>
          <w:tcPr>
            <w:tcW w:type="dxa" w:w="1514"/>
          </w:tcPr>
          <w:p>
            <w:r/>
            <w:r>
              <w:rPr>
                <w:rFonts w:ascii="Verdana" w:hAnsi="Verdana"/>
                <w:b w:val="0"/>
                <w:sz w:val="16"/>
              </w:rPr>
              <w:t>Template version number defined by originating centre</w:t>
            </w:r>
          </w:p>
        </w:tc>
        <w:tc>
          <w:tcPr>
            <w:tcW w:type="dxa" w:w="1514"/>
          </w:tcPr>
          <w:p>
            <w:r/>
            <w:r>
              <w:rPr>
                <w:rFonts w:ascii="Verdana" w:hAnsi="Verdana"/>
                <w:b w:val="0"/>
                <w:sz w:val="16"/>
              </w:rPr>
              <w:t>Numeric</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9</w:t>
            </w:r>
          </w:p>
        </w:tc>
        <w:tc>
          <w:tcPr>
            <w:tcW w:type="dxa" w:w="1514"/>
          </w:tcPr>
          <w:p>
            <w:r/>
            <w:r>
              <w:rPr>
                <w:rFonts w:ascii="Verdana" w:hAnsi="Verdana"/>
                <w:b w:val="0"/>
                <w:sz w:val="16"/>
              </w:rPr>
              <w:t>Numeric</w:t>
            </w:r>
          </w:p>
        </w:tc>
        <w:tc>
          <w:tcPr>
            <w:tcW w:type="dxa" w:w="1514"/>
          </w:tcPr>
          <w:p>
            <w:r/>
            <w:r>
              <w:rPr>
                <w:rFonts w:ascii="Verdana" w:hAnsi="Verdana"/>
                <w:b w:val="0"/>
                <w:sz w:val="16"/>
              </w:rPr>
              <w:t>1</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001114</w:t>
            </w:r>
          </w:p>
        </w:tc>
        <w:tc>
          <w:tcPr>
            <w:tcW w:type="dxa" w:w="1514"/>
          </w:tcPr>
          <w:p>
            <w:r/>
            <w:r>
              <w:rPr>
                <w:rFonts w:ascii="Verdana" w:hAnsi="Verdana"/>
                <w:b w:val="0"/>
                <w:sz w:val="16"/>
              </w:rPr>
              <w:t>Encrypted ship or mobile land station identifier (base64 encoding)</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352</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44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001115</w:t>
            </w:r>
          </w:p>
        </w:tc>
        <w:tc>
          <w:tcPr>
            <w:tcW w:type="dxa" w:w="1514"/>
          </w:tcPr>
          <w:p>
            <w:r/>
            <w:r>
              <w:rPr>
                <w:rFonts w:ascii="Verdana" w:hAnsi="Verdana"/>
                <w:b w:val="0"/>
                <w:sz w:val="16"/>
              </w:rPr>
              <w:t>Identifier of the cruise or mission under which the data were collected</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160</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20</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001124</w:t>
            </w:r>
          </w:p>
        </w:tc>
        <w:tc>
          <w:tcPr>
            <w:tcW w:type="dxa" w:w="1514"/>
          </w:tcPr>
          <w:p>
            <w:r/>
            <w:r>
              <w:rPr>
                <w:rFonts w:ascii="Verdana" w:hAnsi="Verdana"/>
                <w:b w:val="0"/>
                <w:sz w:val="16"/>
              </w:rPr>
              <w:t>Grid point identifier</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24</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001125</w:t>
            </w:r>
          </w:p>
        </w:tc>
        <w:tc>
          <w:tcPr>
            <w:tcW w:type="dxa" w:w="1514"/>
          </w:tcPr>
          <w:p>
            <w:r/>
            <w:r>
              <w:rPr>
                <w:rFonts w:ascii="Verdana" w:hAnsi="Verdana"/>
                <w:b w:val="0"/>
                <w:sz w:val="16"/>
              </w:rPr>
              <w:t>WIGOS identifier series</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001126</w:t>
            </w:r>
          </w:p>
        </w:tc>
        <w:tc>
          <w:tcPr>
            <w:tcW w:type="dxa" w:w="1514"/>
          </w:tcPr>
          <w:p>
            <w:r/>
            <w:r>
              <w:rPr>
                <w:rFonts w:ascii="Verdana" w:hAnsi="Verdana"/>
                <w:b w:val="0"/>
                <w:sz w:val="16"/>
              </w:rPr>
              <w:t>WIGOS issuer of identifier</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001127</w:t>
            </w:r>
          </w:p>
        </w:tc>
        <w:tc>
          <w:tcPr>
            <w:tcW w:type="dxa" w:w="1514"/>
          </w:tcPr>
          <w:p>
            <w:r/>
            <w:r>
              <w:rPr>
                <w:rFonts w:ascii="Verdana" w:hAnsi="Verdana"/>
                <w:b w:val="0"/>
                <w:sz w:val="16"/>
              </w:rPr>
              <w:t>WIGOS issue number</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001128</w:t>
            </w:r>
          </w:p>
        </w:tc>
        <w:tc>
          <w:tcPr>
            <w:tcW w:type="dxa" w:w="1514"/>
          </w:tcPr>
          <w:p>
            <w:r/>
            <w:r>
              <w:rPr>
                <w:rFonts w:ascii="Verdana" w:hAnsi="Verdana"/>
                <w:b w:val="0"/>
                <w:sz w:val="16"/>
              </w:rPr>
              <w:t>WIGOS local identifier (character)</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128</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001130</w:t>
            </w:r>
          </w:p>
        </w:tc>
        <w:tc>
          <w:tcPr>
            <w:tcW w:type="dxa" w:w="1514"/>
          </w:tcPr>
          <w:p>
            <w:r/>
            <w:r>
              <w:rPr>
                <w:rFonts w:ascii="Verdana" w:hAnsi="Verdana"/>
                <w:b w:val="0"/>
                <w:sz w:val="16"/>
              </w:rPr>
              <w:t>Storm identifier (long)</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32</w:t>
            </w:r>
          </w:p>
        </w:tc>
        <w:tc>
          <w:tcPr>
            <w:tcW w:type="dxa" w:w="1514"/>
          </w:tcPr>
          <w:p>
            <w:r/>
            <w:r>
              <w:rPr>
                <w:rFonts w:ascii="Verdana" w:hAnsi="Verdana"/>
                <w:b w:val="0"/>
                <w:sz w:val="16"/>
              </w:rPr>
            </w:r>
          </w:p>
        </w:tc>
        <w:tc>
          <w:tcPr>
            <w:tcW w:type="dxa" w:w="1514"/>
          </w:tcPr>
          <w:p>
            <w:r/>
            <w:r>
              <w:rPr>
                <w:rFonts w:ascii="Verdana" w:hAnsi="Verdana"/>
                <w:b w:val="0"/>
                <w:sz w:val="16"/>
              </w:rPr>
            </w:r>
          </w:p>
        </w:tc>
        <w:tc>
          <w:tcPr>
            <w:tcW w:type="dxa" w:w="1514"/>
          </w:tcPr>
          <w:p>
            <w:r/>
            <w:r>
              <w:rPr>
                <w:rFonts w:ascii="Verdana" w:hAnsi="Verdana"/>
                <w:b w:val="0"/>
                <w:sz w:val="16"/>
              </w:rPr>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001144</w:t>
            </w:r>
          </w:p>
        </w:tc>
        <w:tc>
          <w:tcPr>
            <w:tcW w:type="dxa" w:w="1514"/>
          </w:tcPr>
          <w:p>
            <w:r/>
            <w:r>
              <w:rPr>
                <w:rFonts w:ascii="Verdana" w:hAnsi="Verdana"/>
                <w:b w:val="0"/>
                <w:sz w:val="16"/>
              </w:rPr>
              <w:t>Snapshot identifier</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31</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001145</w:t>
            </w:r>
          </w:p>
        </w:tc>
        <w:tc>
          <w:tcPr>
            <w:tcW w:type="dxa" w:w="1514"/>
          </w:tcPr>
          <w:p>
            <w:r/>
            <w:r>
              <w:rPr>
                <w:rFonts w:ascii="Verdana" w:hAnsi="Verdana"/>
                <w:b w:val="0"/>
                <w:sz w:val="16"/>
              </w:rPr>
              <w:t>Light source identifier</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20</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Note 185: Positive value of descriptor 0 01 145 corresponds to Hipparcos identifier; 0 is Sun, -2 is Venus, -4 is Mars, -5 is Jupiter, -6 is Saturn, -7 is Earth's moon, and -8 is Bright limb.</w:t>
            </w:r>
          </w:p>
        </w:tc>
      </w:tr>
      <w:tr>
        <w:trPr>
          <w:cantSplit/>
        </w:trPr>
        <w:tc>
          <w:tcPr>
            <w:tcW w:type="dxa" w:w="1514"/>
          </w:tcPr>
          <w:p>
            <w:r/>
            <w:r>
              <w:rPr>
                <w:rFonts w:ascii="Verdana" w:hAnsi="Verdana"/>
                <w:b w:val="0"/>
                <w:sz w:val="16"/>
              </w:rPr>
              <w:t>001150</w:t>
            </w:r>
          </w:p>
        </w:tc>
        <w:tc>
          <w:tcPr>
            <w:tcW w:type="dxa" w:w="1514"/>
          </w:tcPr>
          <w:p>
            <w:r/>
            <w:r>
              <w:rPr>
                <w:rFonts w:ascii="Verdana" w:hAnsi="Verdana"/>
                <w:b w:val="0"/>
                <w:sz w:val="16"/>
              </w:rPr>
              <w:t>Coordinate reference system</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001151</w:t>
            </w:r>
          </w:p>
        </w:tc>
        <w:tc>
          <w:tcPr>
            <w:tcW w:type="dxa" w:w="1514"/>
          </w:tcPr>
          <w:p>
            <w:r/>
            <w:r>
              <w:rPr>
                <w:rFonts w:ascii="Verdana" w:hAnsi="Verdana"/>
                <w:b w:val="0"/>
                <w:sz w:val="16"/>
              </w:rPr>
              <w:t>Fixed mean sea-level reference datum</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12</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001152</w:t>
            </w:r>
          </w:p>
        </w:tc>
        <w:tc>
          <w:tcPr>
            <w:tcW w:type="dxa" w:w="1514"/>
          </w:tcPr>
          <w:p>
            <w:r/>
            <w:r>
              <w:rPr>
                <w:rFonts w:ascii="Verdana" w:hAnsi="Verdana"/>
                <w:b w:val="0"/>
                <w:sz w:val="16"/>
              </w:rPr>
              <w:t>Semi-major axis of rotation ellipsoid</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31</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11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001153</w:t>
            </w:r>
          </w:p>
        </w:tc>
        <w:tc>
          <w:tcPr>
            <w:tcW w:type="dxa" w:w="1514"/>
          </w:tcPr>
          <w:p>
            <w:r/>
            <w:r>
              <w:rPr>
                <w:rFonts w:ascii="Verdana" w:hAnsi="Verdana"/>
                <w:b w:val="0"/>
                <w:sz w:val="16"/>
              </w:rPr>
              <w:t>Semi-minor axis of rotation ellipsoid</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31</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11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001154</w:t>
            </w:r>
          </w:p>
        </w:tc>
        <w:tc>
          <w:tcPr>
            <w:tcW w:type="dxa" w:w="1514"/>
          </w:tcPr>
          <w:p>
            <w:r/>
            <w:r>
              <w:rPr>
                <w:rFonts w:ascii="Verdana" w:hAnsi="Verdana"/>
                <w:b w:val="0"/>
                <w:sz w:val="16"/>
              </w:rPr>
              <w:t>Sensor identifier</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12</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001155</w:t>
            </w:r>
          </w:p>
        </w:tc>
        <w:tc>
          <w:tcPr>
            <w:tcW w:type="dxa" w:w="1514"/>
          </w:tcPr>
          <w:p>
            <w:r/>
            <w:r>
              <w:rPr>
                <w:rFonts w:ascii="Verdana" w:hAnsi="Verdana"/>
                <w:b w:val="0"/>
                <w:sz w:val="16"/>
              </w:rPr>
              <w:t>Retrieval identifier</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001156</w:t>
            </w:r>
          </w:p>
        </w:tc>
        <w:tc>
          <w:tcPr>
            <w:tcW w:type="dxa" w:w="1514"/>
          </w:tcPr>
          <w:p>
            <w:r/>
            <w:r>
              <w:rPr>
                <w:rFonts w:ascii="Verdana" w:hAnsi="Verdana"/>
                <w:b w:val="0"/>
                <w:sz w:val="16"/>
              </w:rPr>
              <w:t>Balloon flight number</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64</w:t>
            </w:r>
          </w:p>
        </w:tc>
        <w:tc>
          <w:tcPr>
            <w:tcW w:type="dxa" w:w="1514"/>
          </w:tcPr>
          <w:p>
            <w:r/>
            <w:r>
              <w:rPr>
                <w:rFonts w:ascii="Verdana" w:hAnsi="Verdana"/>
                <w:b w:val="0"/>
                <w:sz w:val="16"/>
              </w:rPr>
            </w:r>
          </w:p>
        </w:tc>
        <w:tc>
          <w:tcPr>
            <w:tcW w:type="dxa" w:w="1514"/>
          </w:tcPr>
          <w:p>
            <w:r/>
            <w:r>
              <w:rPr>
                <w:rFonts w:ascii="Verdana" w:hAnsi="Verdana"/>
                <w:b w:val="0"/>
                <w:sz w:val="16"/>
              </w:rPr>
            </w:r>
          </w:p>
        </w:tc>
        <w:tc>
          <w:tcPr>
            <w:tcW w:type="dxa" w:w="1514"/>
          </w:tcPr>
          <w:p>
            <w:r/>
            <w:r>
              <w:rPr>
                <w:rFonts w:ascii="Verdana" w:hAnsi="Verdana"/>
                <w:b w:val="0"/>
                <w:sz w:val="16"/>
              </w:rPr>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001157</w:t>
            </w:r>
          </w:p>
        </w:tc>
        <w:tc>
          <w:tcPr>
            <w:tcW w:type="dxa" w:w="1514"/>
          </w:tcPr>
          <w:p>
            <w:r/>
            <w:r>
              <w:rPr>
                <w:rFonts w:ascii="Verdana" w:hAnsi="Verdana"/>
                <w:b w:val="0"/>
                <w:sz w:val="16"/>
              </w:rPr>
              <w:t>Balloon registration number or other identification</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80</w:t>
            </w:r>
          </w:p>
        </w:tc>
        <w:tc>
          <w:tcPr>
            <w:tcW w:type="dxa" w:w="1514"/>
          </w:tcPr>
          <w:p>
            <w:r/>
            <w:r>
              <w:rPr>
                <w:rFonts w:ascii="Verdana" w:hAnsi="Verdana"/>
                <w:b w:val="0"/>
                <w:sz w:val="16"/>
              </w:rPr>
            </w:r>
          </w:p>
        </w:tc>
        <w:tc>
          <w:tcPr>
            <w:tcW w:type="dxa" w:w="1514"/>
          </w:tcPr>
          <w:p>
            <w:r/>
            <w:r>
              <w:rPr>
                <w:rFonts w:ascii="Verdana" w:hAnsi="Verdana"/>
                <w:b w:val="0"/>
                <w:sz w:val="16"/>
              </w:rPr>
            </w:r>
          </w:p>
        </w:tc>
        <w:tc>
          <w:tcPr>
            <w:tcW w:type="dxa" w:w="1514"/>
          </w:tcPr>
          <w:p>
            <w:r/>
            <w:r>
              <w:rPr>
                <w:rFonts w:ascii="Verdana" w:hAnsi="Verdana"/>
                <w:b w:val="0"/>
                <w:sz w:val="16"/>
              </w:rPr>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001158</w:t>
            </w:r>
          </w:p>
        </w:tc>
        <w:tc>
          <w:tcPr>
            <w:tcW w:type="dxa" w:w="1514"/>
          </w:tcPr>
          <w:p>
            <w:r/>
            <w:r>
              <w:rPr>
                <w:rFonts w:ascii="Verdana" w:hAnsi="Verdana"/>
                <w:b w:val="0"/>
                <w:sz w:val="16"/>
              </w:rPr>
              <w:t>Type of balloon envelope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c>
          <w:tcPr>
            <w:tcW w:type="dxa" w:w="1514"/>
          </w:tcPr>
          <w:p>
            <w:r/>
            <w:r>
              <w:rPr>
                <w:rFonts w:ascii="Verdana" w:hAnsi="Verdana"/>
                <w:b w:val="0"/>
                <w:sz w:val="16"/>
              </w:rPr>
            </w:r>
          </w:p>
        </w:tc>
        <w:tc>
          <w:tcPr>
            <w:tcW w:type="dxa" w:w="1514"/>
          </w:tcPr>
          <w:p>
            <w:r/>
            <w:r>
              <w:rPr>
                <w:rFonts w:ascii="Verdana" w:hAnsi="Verdana"/>
                <w:b w:val="0"/>
                <w:sz w:val="16"/>
              </w:rPr>
            </w:r>
          </w:p>
        </w:tc>
        <w:tc>
          <w:tcPr>
            <w:tcW w:type="dxa" w:w="1514"/>
          </w:tcPr>
          <w:p>
            <w:r/>
            <w:r>
              <w:rPr>
                <w:rFonts w:ascii="Verdana" w:hAnsi="Verdana"/>
                <w:b w:val="0"/>
                <w:sz w:val="16"/>
              </w:rPr>
            </w:r>
          </w:p>
        </w:tc>
      </w:tr>
      <w:tr>
        <w:trPr>
          <w:cantSplit/>
        </w:trPr>
        <w:tc>
          <w:tcPr>
            <w:tcW w:type="dxa" w:w="1514"/>
          </w:tcPr>
          <w:p>
            <w:r/>
            <w:r>
              <w:rPr>
                <w:rFonts w:ascii="Verdana" w:hAnsi="Verdana"/>
                <w:b w:val="0"/>
                <w:sz w:val="16"/>
              </w:rPr>
              <w:t>001159</w:t>
            </w:r>
          </w:p>
        </w:tc>
        <w:tc>
          <w:tcPr>
            <w:tcW w:type="dxa" w:w="1514"/>
          </w:tcPr>
          <w:p>
            <w:r/>
            <w:r>
              <w:rPr>
                <w:rFonts w:ascii="Verdana" w:hAnsi="Verdana"/>
                <w:b w:val="0"/>
                <w:sz w:val="16"/>
              </w:rPr>
              <w:t>Typical size of balloon envelope</w:t>
            </w:r>
          </w:p>
        </w:tc>
        <w:tc>
          <w:tcPr>
            <w:tcW w:type="dxa" w:w="1514"/>
          </w:tcPr>
          <w:p>
            <w:r/>
            <w:r>
              <w:rPr>
                <w:rFonts w:ascii="Verdana" w:hAnsi="Verdana"/>
                <w:b w:val="0"/>
                <w:sz w:val="16"/>
              </w:rPr>
              <w:t>m</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12</w:t>
            </w:r>
          </w:p>
        </w:tc>
        <w:tc>
          <w:tcPr>
            <w:tcW w:type="dxa" w:w="1514"/>
          </w:tcPr>
          <w:p>
            <w:r/>
            <w:r>
              <w:rPr>
                <w:rFonts w:ascii="Verdana" w:hAnsi="Verdana"/>
                <w:b w:val="0"/>
                <w:sz w:val="16"/>
              </w:rPr>
            </w:r>
          </w:p>
        </w:tc>
        <w:tc>
          <w:tcPr>
            <w:tcW w:type="dxa" w:w="1514"/>
          </w:tcPr>
          <w:p>
            <w:r/>
            <w:r>
              <w:rPr>
                <w:rFonts w:ascii="Verdana" w:hAnsi="Verdana"/>
                <w:b w:val="0"/>
                <w:sz w:val="16"/>
              </w:rPr>
            </w:r>
          </w:p>
        </w:tc>
        <w:tc>
          <w:tcPr>
            <w:tcW w:type="dxa" w:w="1514"/>
          </w:tcPr>
          <w:p>
            <w:r/>
            <w:r>
              <w:rPr>
                <w:rFonts w:ascii="Verdana" w:hAnsi="Verdana"/>
                <w:b w:val="0"/>
                <w:sz w:val="16"/>
              </w:rPr>
            </w:r>
          </w:p>
        </w:tc>
        <w:tc>
          <w:tcPr>
            <w:tcW w:type="dxa" w:w="1514"/>
          </w:tcPr>
          <w:p>
            <w:r/>
            <w:r>
              <w:rPr>
                <w:rFonts w:ascii="Verdana" w:hAnsi="Verdana"/>
                <w:b w:val="0"/>
                <w:sz w:val="16"/>
              </w:rPr>
              <w:t>Note 195: In descriptor 0 01 159, report the diameter of spherical balloons and report the larger dimension (length, height) of other shapes.</w:t>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