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11: Wind and turbulence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wind direction (in degrees off bow)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 associated with wind speed which follows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 at 5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5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 counterclockwise wind direction of a variable wind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 clockwise wind direction of a variable wind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Steadiness of wind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147: The steadiness factor (descriptor 0 11 019) is the ratio of speed of the monthly mean vector wind to the speed of the monthly mean scalar wind expressed as a percentage. It is reported to the nearest one percent.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vorticity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Divergence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Velocity potential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u-component after the vortex removal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v-component after the vortex removal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degree of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of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base of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gust velocity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gust acceleration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derived equivalent vertical gust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index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occurrence of peak eddy dissipation rate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time of occurrence of peak eddy dissipation rate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speed (mean wind)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speed (10-minute mean wind)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wind direction for surface - 1 500 m (5 000 feet)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wind speed for surface - 1 500 m (5 000 feet)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instantaneous 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instantaneous wind speed over 10 minutes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of wind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of horizontal 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of vertical 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Formal uncertainty in 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Formal uncertainty in wind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wind direction for 1 500 - 3 000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wind speed for 1 500 - 3 000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Absolute wind shear in 1 km layer below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Absolute wind shear in 1 km layer above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Designator of the runway affected by wind shear (including ALL)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Turbulent vertical momentum flux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Turbulent vertical buoyancy flux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Turbulent kinetic energy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Dissipation energy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Reporting interval or averaging time for eddy dissipation rate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views used for wind retrieval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wind direction at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wind speed at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radiometer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true airspeed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ground speed u-component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ground speed v-component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ground speed w-component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True heading of aircraft, ship or other mobile platform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EDR algorithm version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Running minimum confidence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number bad inputs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Peak location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good EDR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u-component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v-component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w-component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Tracking correlation of vector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