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15: Physical/chemical constituents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015001</w:t>
            </w:r>
          </w:p>
        </w:tc>
        <w:tc>
          <w:tcPr>
            <w:tcW w:type="dxa" w:w="1514"/>
          </w:tcPr>
          <w:p>
            <w:r/>
            <w:r>
              <w:rPr>
                <w:rFonts w:ascii="Verdana" w:hAnsi="Verdana"/>
                <w:b w:val="0"/>
                <w:sz w:val="16"/>
              </w:rPr>
              <w:t>Total ozone</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015002</w:t>
            </w:r>
          </w:p>
        </w:tc>
        <w:tc>
          <w:tcPr>
            <w:tcW w:type="dxa" w:w="1514"/>
          </w:tcPr>
          <w:p>
            <w:r/>
            <w:r>
              <w:rPr>
                <w:rFonts w:ascii="Verdana" w:hAnsi="Verdana"/>
                <w:b w:val="0"/>
                <w:sz w:val="16"/>
              </w:rPr>
              <w:t>Air mass (slant path at 22 km)</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015003</w:t>
            </w:r>
          </w:p>
        </w:tc>
        <w:tc>
          <w:tcPr>
            <w:tcW w:type="dxa" w:w="1514"/>
          </w:tcPr>
          <w:p>
            <w:r/>
            <w:r>
              <w:rPr>
                <w:rFonts w:ascii="Verdana" w:hAnsi="Verdana"/>
                <w:b w:val="0"/>
                <w:sz w:val="16"/>
              </w:rPr>
              <w:t>Measured ozone partial pressure (sounding)</w:t>
            </w:r>
          </w:p>
        </w:tc>
        <w:tc>
          <w:tcPr>
            <w:tcW w:type="dxa" w:w="1514"/>
          </w:tcPr>
          <w:p>
            <w:r/>
            <w:r>
              <w:rPr>
                <w:rFonts w:ascii="Verdana" w:hAnsi="Verdana"/>
                <w:b w:val="0"/>
                <w:sz w:val="16"/>
              </w:rPr>
              <w:t>Pa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nbar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 3 04 035 is deprecated.</w:t>
            </w:r>
          </w:p>
        </w:tc>
      </w:tr>
      <w:tr>
        <w:trPr>
          <w:cantSplit/>
        </w:trPr>
        <w:tc>
          <w:tcPr>
            <w:tcW w:type="dxa" w:w="1514"/>
          </w:tcPr>
          <w:p>
            <w:r/>
            <w:r>
              <w:rPr>
                <w:rFonts w:ascii="Verdana" w:hAnsi="Verdana"/>
                <w:b w:val="0"/>
                <w:sz w:val="16"/>
              </w:rPr>
              <w:t>015004</w:t>
            </w:r>
          </w:p>
        </w:tc>
        <w:tc>
          <w:tcPr>
            <w:tcW w:type="dxa" w:w="1514"/>
          </w:tcPr>
          <w:p>
            <w:r/>
            <w:r>
              <w:rPr>
                <w:rFonts w:ascii="Verdana" w:hAnsi="Verdana"/>
                <w:b w:val="0"/>
                <w:sz w:val="16"/>
              </w:rPr>
              <w:t>Ozone sounding correction factor (CF)</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2: 3 07 082 is deprecated.</w:t>
            </w:r>
          </w:p>
        </w:tc>
      </w:tr>
      <w:tr>
        <w:trPr>
          <w:cantSplit/>
        </w:trPr>
        <w:tc>
          <w:tcPr>
            <w:tcW w:type="dxa" w:w="1514"/>
          </w:tcPr>
          <w:p>
            <w:r/>
            <w:r>
              <w:rPr>
                <w:rFonts w:ascii="Verdana" w:hAnsi="Verdana"/>
                <w:b w:val="0"/>
                <w:sz w:val="16"/>
              </w:rPr>
              <w:t>015005</w:t>
            </w:r>
          </w:p>
        </w:tc>
        <w:tc>
          <w:tcPr>
            <w:tcW w:type="dxa" w:w="1514"/>
          </w:tcPr>
          <w:p>
            <w:r/>
            <w:r>
              <w:rPr>
                <w:rFonts w:ascii="Verdana" w:hAnsi="Verdana"/>
                <w:b w:val="0"/>
                <w:sz w:val="16"/>
              </w:rPr>
              <w:t>Ozone p</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 3 10 027 is deprecated.</w:t>
            </w:r>
          </w:p>
        </w:tc>
      </w:tr>
      <w:tr>
        <w:trPr>
          <w:cantSplit/>
        </w:trPr>
        <w:tc>
          <w:tcPr>
            <w:tcW w:type="dxa" w:w="1514"/>
          </w:tcPr>
          <w:p>
            <w:r/>
            <w:r>
              <w:rPr>
                <w:rFonts w:ascii="Verdana" w:hAnsi="Verdana"/>
                <w:b w:val="0"/>
                <w:sz w:val="16"/>
              </w:rPr>
              <w:t>015006</w:t>
            </w:r>
          </w:p>
        </w:tc>
        <w:tc>
          <w:tcPr>
            <w:tcW w:type="dxa" w:w="1514"/>
          </w:tcPr>
          <w:p>
            <w:r/>
            <w:r>
              <w:rPr>
                <w:rFonts w:ascii="Verdana" w:hAnsi="Verdana"/>
                <w:b w:val="0"/>
                <w:sz w:val="16"/>
              </w:rPr>
              <w:t>Log10 of number density of atmosphere</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1800000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015007</w:t>
            </w:r>
          </w:p>
        </w:tc>
        <w:tc>
          <w:tcPr>
            <w:tcW w:type="dxa" w:w="1514"/>
          </w:tcPr>
          <w:p>
            <w:r/>
            <w:r>
              <w:rPr>
                <w:rFonts w:ascii="Verdana" w:hAnsi="Verdana"/>
                <w:b w:val="0"/>
                <w:sz w:val="16"/>
              </w:rPr>
              <w:t>Estimated amount of chemical constituent</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015008</w:t>
            </w:r>
          </w:p>
        </w:tc>
        <w:tc>
          <w:tcPr>
            <w:tcW w:type="dxa" w:w="1514"/>
          </w:tcPr>
          <w:p>
            <w:r/>
            <w:r>
              <w:rPr>
                <w:rFonts w:ascii="Verdana" w:hAnsi="Verdana"/>
                <w:b w:val="0"/>
                <w:sz w:val="16"/>
              </w:rPr>
              <w:t>Significand of volumetric mixing ratio</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015009</w:t>
            </w:r>
          </w:p>
        </w:tc>
        <w:tc>
          <w:tcPr>
            <w:tcW w:type="dxa" w:w="1514"/>
          </w:tcPr>
          <w:p>
            <w:r/>
            <w:r>
              <w:rPr>
                <w:rFonts w:ascii="Verdana" w:hAnsi="Verdana"/>
                <w:b w:val="0"/>
                <w:sz w:val="16"/>
              </w:rPr>
              <w:t>Log10 of number density of ozone</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1200000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015011</w:t>
            </w:r>
          </w:p>
        </w:tc>
        <w:tc>
          <w:tcPr>
            <w:tcW w:type="dxa" w:w="1514"/>
          </w:tcPr>
          <w:p>
            <w:r/>
            <w:r>
              <w:rPr>
                <w:rFonts w:ascii="Verdana" w:hAnsi="Verdana"/>
                <w:b w:val="0"/>
                <w:sz w:val="16"/>
              </w:rPr>
              <w:t>Log10 of integrated electron density</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14000</w:t>
            </w:r>
          </w:p>
        </w:tc>
        <w:tc>
          <w:tcPr>
            <w:tcW w:type="dxa" w:w="1514"/>
          </w:tcPr>
          <w:p>
            <w:r/>
            <w:r>
              <w:rPr>
                <w:rFonts w:ascii="Verdana" w:hAnsi="Verdana"/>
                <w:b w:val="0"/>
                <w:sz w:val="16"/>
              </w:rPr>
              <w:t>13</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015012</w:t>
            </w:r>
          </w:p>
        </w:tc>
        <w:tc>
          <w:tcPr>
            <w:tcW w:type="dxa" w:w="1514"/>
          </w:tcPr>
          <w:p>
            <w:r/>
            <w:r>
              <w:rPr>
                <w:rFonts w:ascii="Verdana" w:hAnsi="Verdana"/>
                <w:b w:val="0"/>
                <w:sz w:val="16"/>
              </w:rPr>
              <w:t>Total electron count per square metre</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015015</w:t>
            </w:r>
          </w:p>
        </w:tc>
        <w:tc>
          <w:tcPr>
            <w:tcW w:type="dxa" w:w="1514"/>
          </w:tcPr>
          <w:p>
            <w:r/>
            <w:r>
              <w:rPr>
                <w:rFonts w:ascii="Verdana" w:hAnsi="Verdana"/>
                <w:b w:val="0"/>
                <w:sz w:val="16"/>
              </w:rPr>
              <w:t>Maximum image spectral component before normalization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015020</w:t>
            </w:r>
          </w:p>
        </w:tc>
        <w:tc>
          <w:tcPr>
            <w:tcW w:type="dxa" w:w="1514"/>
          </w:tcPr>
          <w:p>
            <w:r/>
            <w:r>
              <w:rPr>
                <w:rFonts w:ascii="Verdana" w:hAnsi="Verdana"/>
                <w:b w:val="0"/>
                <w:sz w:val="16"/>
              </w:rPr>
              <w:t>Integrated ozone density</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015021</w:t>
            </w:r>
          </w:p>
        </w:tc>
        <w:tc>
          <w:tcPr>
            <w:tcW w:type="dxa" w:w="1514"/>
          </w:tcPr>
          <w:p>
            <w:r/>
            <w:r>
              <w:rPr>
                <w:rFonts w:ascii="Verdana" w:hAnsi="Verdana"/>
                <w:b w:val="0"/>
                <w:sz w:val="16"/>
              </w:rPr>
              <w:t>Integrated mass density</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015022</w:t>
            </w:r>
          </w:p>
        </w:tc>
        <w:tc>
          <w:tcPr>
            <w:tcW w:type="dxa" w:w="1514"/>
          </w:tcPr>
          <w:p>
            <w:r/>
            <w:r>
              <w:rPr>
                <w:rFonts w:ascii="Verdana" w:hAnsi="Verdana"/>
                <w:b w:val="0"/>
                <w:sz w:val="16"/>
              </w:rPr>
              <w:t>Extended integrated mass density</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-100000000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015024</w:t>
            </w:r>
          </w:p>
        </w:tc>
        <w:tc>
          <w:tcPr>
            <w:tcW w:type="dxa" w:w="1514"/>
          </w:tcPr>
          <w:p>
            <w:r/>
            <w:r>
              <w:rPr>
                <w:rFonts w:ascii="Verdana" w:hAnsi="Verdana"/>
                <w:b w:val="0"/>
                <w:sz w:val="16"/>
              </w:rPr>
              <w:t>Optical depth</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015025</w:t>
            </w:r>
          </w:p>
        </w:tc>
        <w:tc>
          <w:tcPr>
            <w:tcW w:type="dxa" w:w="1514"/>
          </w:tcPr>
          <w:p>
            <w:r/>
            <w:r>
              <w:rPr>
                <w:rFonts w:ascii="Verdana" w:hAnsi="Verdana"/>
                <w:b w:val="0"/>
                <w:sz w:val="16"/>
              </w:rPr>
              <w:t>Type of pollutant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015026</w:t>
            </w:r>
          </w:p>
        </w:tc>
        <w:tc>
          <w:tcPr>
            <w:tcW w:type="dxa" w:w="1514"/>
          </w:tcPr>
          <w:p>
            <w:r/>
            <w:r>
              <w:rPr>
                <w:rFonts w:ascii="Verdana" w:hAnsi="Verdana"/>
                <w:b w:val="0"/>
                <w:sz w:val="16"/>
              </w:rPr>
              <w:t>Concentration of pollutant (mol mol-1)</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015027</w:t>
            </w:r>
          </w:p>
        </w:tc>
        <w:tc>
          <w:tcPr>
            <w:tcW w:type="dxa" w:w="1514"/>
          </w:tcPr>
          <w:p>
            <w:r/>
            <w:r>
              <w:rPr>
                <w:rFonts w:ascii="Verdana" w:hAnsi="Verdana"/>
                <w:b w:val="0"/>
                <w:sz w:val="16"/>
              </w:rPr>
              <w:t>Concentration of pollutant (kg m-3)</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015028</w:t>
            </w:r>
          </w:p>
        </w:tc>
        <w:tc>
          <w:tcPr>
            <w:tcW w:type="dxa" w:w="1514"/>
          </w:tcPr>
          <w:p>
            <w:r/>
            <w:r>
              <w:rPr>
                <w:rFonts w:ascii="Verdana" w:hAnsi="Verdana"/>
                <w:b w:val="0"/>
                <w:sz w:val="16"/>
              </w:rPr>
              <w:t>Mole fraction of atmospheric constituent/pollutant in dry air</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015029</w:t>
            </w:r>
          </w:p>
        </w:tc>
        <w:tc>
          <w:tcPr>
            <w:tcW w:type="dxa" w:w="1514"/>
          </w:tcPr>
          <w:p>
            <w:r/>
            <w:r>
              <w:rPr>
                <w:rFonts w:ascii="Verdana" w:hAnsi="Verdana"/>
                <w:b w:val="0"/>
                <w:sz w:val="16"/>
              </w:rPr>
              <w:t>Extinction coefficient</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015030</w:t>
            </w:r>
          </w:p>
        </w:tc>
        <w:tc>
          <w:tcPr>
            <w:tcW w:type="dxa" w:w="1514"/>
          </w:tcPr>
          <w:p>
            <w:r/>
            <w:r>
              <w:rPr>
                <w:rFonts w:ascii="Verdana" w:hAnsi="Verdana"/>
                <w:b w:val="0"/>
                <w:sz w:val="16"/>
              </w:rPr>
              <w:t>Aerosol contamination index</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79: It is recommended to use 3 15 023 instead of 3 15 013.</w:t>
            </w:r>
          </w:p>
        </w:tc>
      </w:tr>
      <w:tr>
        <w:trPr>
          <w:cantSplit/>
        </w:trPr>
        <w:tc>
          <w:tcPr>
            <w:tcW w:type="dxa" w:w="1514"/>
          </w:tcPr>
          <w:p>
            <w:r/>
            <w:r>
              <w:rPr>
                <w:rFonts w:ascii="Verdana" w:hAnsi="Verdana"/>
                <w:b w:val="0"/>
                <w:sz w:val="16"/>
              </w:rPr>
              <w:t>015031</w:t>
            </w:r>
          </w:p>
        </w:tc>
        <w:tc>
          <w:tcPr>
            <w:tcW w:type="dxa" w:w="1514"/>
          </w:tcPr>
          <w:p>
            <w:r/>
            <w:r>
              <w:rPr>
                <w:rFonts w:ascii="Verdana" w:hAnsi="Verdana"/>
                <w:b w:val="0"/>
                <w:sz w:val="16"/>
              </w:rPr>
              <w:t>Atmospheric path delay in satellite signal</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015032</w:t>
            </w:r>
          </w:p>
        </w:tc>
        <w:tc>
          <w:tcPr>
            <w:tcW w:type="dxa" w:w="1514"/>
          </w:tcPr>
          <w:p>
            <w:r/>
            <w:r>
              <w:rPr>
                <w:rFonts w:ascii="Verdana" w:hAnsi="Verdana"/>
                <w:b w:val="0"/>
                <w:sz w:val="16"/>
              </w:rPr>
              <w:t>Estimated error in atmospheric 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015033</w:t>
            </w:r>
          </w:p>
        </w:tc>
        <w:tc>
          <w:tcPr>
            <w:tcW w:type="dxa" w:w="1514"/>
          </w:tcPr>
          <w:p>
            <w:r/>
            <w:r>
              <w:rPr>
                <w:rFonts w:ascii="Verdana" w:hAnsi="Verdana"/>
                <w:b w:val="0"/>
                <w:sz w:val="16"/>
              </w:rPr>
              <w:t>Difference in path delays for limb views at extremes of scan</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015034</w:t>
            </w:r>
          </w:p>
        </w:tc>
        <w:tc>
          <w:tcPr>
            <w:tcW w:type="dxa" w:w="1514"/>
          </w:tcPr>
          <w:p>
            <w:r/>
            <w:r>
              <w:rPr>
                <w:rFonts w:ascii="Verdana" w:hAnsi="Verdana"/>
                <w:b w:val="0"/>
                <w:sz w:val="16"/>
              </w:rPr>
              <w:t>Estimated error in path delay difference</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015035</w:t>
            </w:r>
          </w:p>
        </w:tc>
        <w:tc>
          <w:tcPr>
            <w:tcW w:type="dxa" w:w="1514"/>
          </w:tcPr>
          <w:p>
            <w:r/>
            <w:r>
              <w:rPr>
                <w:rFonts w:ascii="Verdana" w:hAnsi="Verdana"/>
                <w:b w:val="0"/>
                <w:sz w:val="16"/>
              </w:rPr>
              <w:t>Component of zenith path delay due to water vapour</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015036</w:t>
            </w:r>
          </w:p>
        </w:tc>
        <w:tc>
          <w:tcPr>
            <w:tcW w:type="dxa" w:w="1514"/>
          </w:tcPr>
          <w:p>
            <w:r/>
            <w:r>
              <w:rPr>
                <w:rFonts w:ascii="Verdana" w:hAnsi="Verdana"/>
                <w:b w:val="0"/>
                <w:sz w:val="16"/>
              </w:rPr>
              <w:t>Atmospheric refractivity</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142: The refractivity, N, is related to the refractive index, n, by the formula N = 106 (n - 1). N is therefore dimensionless but values computed by the formula are by convention described as being in "N units".</w:t>
            </w:r>
          </w:p>
        </w:tc>
      </w:tr>
      <w:tr>
        <w:trPr>
          <w:cantSplit/>
        </w:trPr>
        <w:tc>
          <w:tcPr>
            <w:tcW w:type="dxa" w:w="1514"/>
          </w:tcPr>
          <w:p>
            <w:r/>
            <w:r>
              <w:rPr>
                <w:rFonts w:ascii="Verdana" w:hAnsi="Verdana"/>
                <w:b w:val="0"/>
                <w:sz w:val="16"/>
              </w:rPr>
              <w:t>015037</w:t>
            </w:r>
          </w:p>
        </w:tc>
        <w:tc>
          <w:tcPr>
            <w:tcW w:type="dxa" w:w="1514"/>
          </w:tcPr>
          <w:p>
            <w:r/>
            <w:r>
              <w:rPr>
                <w:rFonts w:ascii="Verdana" w:hAnsi="Verdana"/>
                <w:b w:val="0"/>
                <w:sz w:val="16"/>
              </w:rPr>
              <w:t>Bending angle</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-100000</w:t>
            </w:r>
          </w:p>
        </w:tc>
        <w:tc>
          <w:tcPr>
            <w:tcW w:type="dxa" w:w="1514"/>
          </w:tcPr>
          <w:p>
            <w:r/>
            <w:r>
              <w:rPr>
                <w:rFonts w:ascii="Verdana" w:hAnsi="Verdana"/>
                <w:b w:val="0"/>
                <w:sz w:val="16"/>
              </w:rPr>
              <w:t>23</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015038</w:t>
            </w:r>
          </w:p>
        </w:tc>
        <w:tc>
          <w:tcPr>
            <w:tcW w:type="dxa" w:w="1514"/>
          </w:tcPr>
          <w:p>
            <w:r/>
            <w:r>
              <w:rPr>
                <w:rFonts w:ascii="Verdana" w:hAnsi="Verdana"/>
                <w:b w:val="0"/>
                <w:sz w:val="16"/>
              </w:rPr>
              <w:t>Path delay due to neutral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11</w:t>
            </w:r>
          </w:p>
        </w:tc>
        <w:tc>
          <w:tcPr>
            <w:tcW w:type="dxa" w:w="1514"/>
          </w:tcPr>
          <w:p>
            <w:r/>
            <w:r>
              <w:rPr>
                <w:rFonts w:ascii="Verdana" w:hAnsi="Verdana"/>
                <w:b w:val="0"/>
                <w:sz w:val="16"/>
              </w:rPr>
              <w:t>Note 4: Additional descriptors are required to reduce the workload with respect to the station database, e.g. for identification of the federal state and identification of the highway.</w:t>
            </w:r>
          </w:p>
        </w:tc>
      </w:tr>
      <w:tr>
        <w:trPr>
          <w:cantSplit/>
        </w:trPr>
        <w:tc>
          <w:tcPr>
            <w:tcW w:type="dxa" w:w="1514"/>
          </w:tcPr>
          <w:p>
            <w:r/>
            <w:r>
              <w:rPr>
                <w:rFonts w:ascii="Verdana" w:hAnsi="Verdana"/>
                <w:b w:val="0"/>
                <w:sz w:val="16"/>
              </w:rPr>
              <w:t>015039</w:t>
            </w:r>
          </w:p>
        </w:tc>
        <w:tc>
          <w:tcPr>
            <w:tcW w:type="dxa" w:w="1514"/>
          </w:tcPr>
          <w:p>
            <w:r/>
            <w:r>
              <w:rPr>
                <w:rFonts w:ascii="Verdana" w:hAnsi="Verdana"/>
                <w:b w:val="0"/>
                <w:sz w:val="16"/>
              </w:rPr>
              <w:t>Estimated error in neutral atmosphere 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015041</w:t>
            </w:r>
          </w:p>
        </w:tc>
        <w:tc>
          <w:tcPr>
            <w:tcW w:type="dxa" w:w="1514"/>
          </w:tcPr>
          <w:p>
            <w:r/>
            <w:r>
              <w:rPr>
                <w:rFonts w:ascii="Verdana" w:hAnsi="Verdana"/>
                <w:b w:val="0"/>
                <w:sz w:val="16"/>
              </w:rPr>
              <w:t>Sulphur dioxide index</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-1200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w:t>
            </w:r>
          </w:p>
        </w:tc>
      </w:tr>
      <w:tr>
        <w:trPr>
          <w:cantSplit/>
        </w:trPr>
        <w:tc>
          <w:tcPr>
            <w:tcW w:type="dxa" w:w="1514"/>
          </w:tcPr>
          <w:p>
            <w:r/>
            <w:r>
              <w:rPr>
                <w:rFonts w:ascii="Verdana" w:hAnsi="Verdana"/>
                <w:b w:val="0"/>
                <w:sz w:val="16"/>
              </w:rPr>
              <w:t>015042</w:t>
            </w:r>
          </w:p>
        </w:tc>
        <w:tc>
          <w:tcPr>
            <w:tcW w:type="dxa" w:w="1514"/>
          </w:tcPr>
          <w:p>
            <w:r/>
            <w:r>
              <w:rPr>
                <w:rFonts w:ascii="Verdana" w:hAnsi="Verdana"/>
                <w:b w:val="0"/>
                <w:sz w:val="16"/>
              </w:rPr>
              <w:t>Reflectance</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015043</w:t>
            </w:r>
          </w:p>
        </w:tc>
        <w:tc>
          <w:tcPr>
            <w:tcW w:type="dxa" w:w="1514"/>
          </w:tcPr>
          <w:p>
            <w:r/>
            <w:r>
              <w:rPr>
                <w:rFonts w:ascii="Verdana" w:hAnsi="Verdana"/>
                <w:b w:val="0"/>
                <w:sz w:val="16"/>
              </w:rPr>
              <w:t>Number of averaging kernel layers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015044</w:t>
            </w:r>
          </w:p>
        </w:tc>
        <w:tc>
          <w:tcPr>
            <w:tcW w:type="dxa" w:w="1514"/>
          </w:tcPr>
          <w:p>
            <w:r/>
            <w:r>
              <w:rPr>
                <w:rFonts w:ascii="Verdana" w:hAnsi="Verdana"/>
                <w:b w:val="0"/>
                <w:sz w:val="16"/>
              </w:rPr>
              <w:t>Averaging kernel value</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015045</w:t>
            </w:r>
          </w:p>
        </w:tc>
        <w:tc>
          <w:tcPr>
            <w:tcW w:type="dxa" w:w="1514"/>
          </w:tcPr>
          <w:p>
            <w:r/>
            <w:r>
              <w:rPr>
                <w:rFonts w:ascii="Verdana" w:hAnsi="Verdana"/>
                <w:b w:val="0"/>
                <w:sz w:val="16"/>
              </w:rPr>
              <w:t>Sulphur dioxide</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-2000</w:t>
            </w:r>
          </w:p>
        </w:tc>
        <w:tc>
          <w:tcPr>
            <w:tcW w:type="dxa" w:w="1514"/>
          </w:tcPr>
          <w:p>
            <w:r/>
            <w:r>
              <w:rPr>
                <w:rFonts w:ascii="Verdana" w:hAnsi="Verdana"/>
                <w:b w:val="0"/>
                <w:sz w:val="16"/>
              </w:rPr>
              <w:t>15</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1514"/>
          </w:tcPr>
          <w:p>
            <w:r/>
            <w:r>
              <w:rPr>
                <w:rFonts w:ascii="Verdana" w:hAnsi="Verdana"/>
                <w:b w:val="0"/>
                <w:sz w:val="16"/>
              </w:rPr>
              <w:t>015046</w:t>
            </w:r>
          </w:p>
        </w:tc>
        <w:tc>
          <w:tcPr>
            <w:tcW w:type="dxa" w:w="1514"/>
          </w:tcPr>
          <w:p>
            <w:r/>
            <w:r>
              <w:rPr>
                <w:rFonts w:ascii="Verdana" w:hAnsi="Verdana"/>
                <w:b w:val="0"/>
                <w:sz w:val="16"/>
              </w:rPr>
              <w:t>Volcano contamination index</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80: For a discussion of 'Forecast indices from ground-based microwave radiometers for operational meteorology' see: https://doi.org/10.5194/amt-8-315-2015.</w:t>
            </w:r>
          </w:p>
        </w:tc>
      </w:tr>
      <w:tr>
        <w:trPr>
          <w:cantSplit/>
        </w:trPr>
        <w:tc>
          <w:tcPr>
            <w:tcW w:type="dxa" w:w="1514"/>
          </w:tcPr>
          <w:p>
            <w:r/>
            <w:r>
              <w:rPr>
                <w:rFonts w:ascii="Verdana" w:hAnsi="Verdana"/>
                <w:b w:val="0"/>
                <w:sz w:val="16"/>
              </w:rPr>
              <w:t>015049</w:t>
            </w:r>
          </w:p>
        </w:tc>
        <w:tc>
          <w:tcPr>
            <w:tcW w:type="dxa" w:w="1514"/>
          </w:tcPr>
          <w:p>
            <w:r/>
            <w:r>
              <w:rPr>
                <w:rFonts w:ascii="Verdana" w:hAnsi="Verdana"/>
                <w:b w:val="0"/>
                <w:sz w:val="16"/>
              </w:rPr>
              <w:t>Aerosol Angstrom wavelength exponent</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015051</w:t>
            </w:r>
          </w:p>
        </w:tc>
        <w:tc>
          <w:tcPr>
            <w:tcW w:type="dxa" w:w="1514"/>
          </w:tcPr>
          <w:p>
            <w:r/>
            <w:r>
              <w:rPr>
                <w:rFonts w:ascii="Verdana" w:hAnsi="Verdana"/>
                <w:b w:val="0"/>
                <w:sz w:val="16"/>
              </w:rPr>
              <w:t>Meteorological optical range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015052</w:t>
            </w:r>
          </w:p>
        </w:tc>
        <w:tc>
          <w:tcPr>
            <w:tcW w:type="dxa" w:w="1514"/>
          </w:tcPr>
          <w:p>
            <w:r/>
            <w:r>
              <w:rPr>
                <w:rFonts w:ascii="Verdana" w:hAnsi="Verdana"/>
                <w:b w:val="0"/>
                <w:sz w:val="16"/>
              </w:rPr>
              <w:t>Log10 of number density of aerosol particles with diameter greater than 5 nm</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015053</w:t>
            </w:r>
          </w:p>
        </w:tc>
        <w:tc>
          <w:tcPr>
            <w:tcW w:type="dxa" w:w="1514"/>
          </w:tcPr>
          <w:p>
            <w:r/>
            <w:r>
              <w:rPr>
                <w:rFonts w:ascii="Verdana" w:hAnsi="Verdana"/>
                <w:b w:val="0"/>
                <w:sz w:val="16"/>
              </w:rPr>
              <w:t>Log10 of number density of aerosol particles with diameter greater than 14 nm</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600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015054</w:t>
            </w:r>
          </w:p>
        </w:tc>
        <w:tc>
          <w:tcPr>
            <w:tcW w:type="dxa" w:w="1514"/>
          </w:tcPr>
          <w:p>
            <w:r/>
            <w:r>
              <w:rPr>
                <w:rFonts w:ascii="Verdana" w:hAnsi="Verdana"/>
                <w:b w:val="0"/>
                <w:sz w:val="16"/>
              </w:rPr>
              <w:t>Log10 of number density of aerosol particles with diameter between 0.25 and 2.5 um</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550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015055</w:t>
            </w:r>
          </w:p>
        </w:tc>
        <w:tc>
          <w:tcPr>
            <w:tcW w:type="dxa" w:w="1514"/>
          </w:tcPr>
          <w:p>
            <w:r/>
            <w:r>
              <w:rPr>
                <w:rFonts w:ascii="Verdana" w:hAnsi="Verdana"/>
                <w:b w:val="0"/>
                <w:sz w:val="16"/>
              </w:rPr>
              <w:t>Non volatile aerosol ratio</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015062</w:t>
            </w:r>
          </w:p>
        </w:tc>
        <w:tc>
          <w:tcPr>
            <w:tcW w:type="dxa" w:w="1514"/>
          </w:tcPr>
          <w:p>
            <w:r/>
            <w:r>
              <w:rPr>
                <w:rFonts w:ascii="Verdana" w:hAnsi="Verdana"/>
                <w:b w:val="0"/>
                <w:sz w:val="16"/>
              </w:rPr>
              <w:t>Aerosol optical thickness</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015063</w:t>
            </w:r>
          </w:p>
        </w:tc>
        <w:tc>
          <w:tcPr>
            <w:tcW w:type="dxa" w:w="1514"/>
          </w:tcPr>
          <w:p>
            <w:r/>
            <w:r>
              <w:rPr>
                <w:rFonts w:ascii="Verdana" w:hAnsi="Verdana"/>
                <w:b w:val="0"/>
                <w:sz w:val="16"/>
              </w:rPr>
              <w:t>Attenuated backscatter</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015064</w:t>
            </w:r>
          </w:p>
        </w:tc>
        <w:tc>
          <w:tcPr>
            <w:tcW w:type="dxa" w:w="1514"/>
          </w:tcPr>
          <w:p>
            <w:r/>
            <w:r>
              <w:rPr>
                <w:rFonts w:ascii="Verdana" w:hAnsi="Verdana"/>
                <w:b w:val="0"/>
                <w:sz w:val="16"/>
              </w:rPr>
              <w:t>Uncertainty in attenuated backscatter</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015065</w:t>
            </w:r>
          </w:p>
        </w:tc>
        <w:tc>
          <w:tcPr>
            <w:tcW w:type="dxa" w:w="1514"/>
          </w:tcPr>
          <w:p>
            <w:r/>
            <w:r>
              <w:rPr>
                <w:rFonts w:ascii="Verdana" w:hAnsi="Verdana"/>
                <w:b w:val="0"/>
                <w:sz w:val="16"/>
              </w:rPr>
              <w:t>Particle backscatter coefficient</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015066</w:t>
            </w:r>
          </w:p>
        </w:tc>
        <w:tc>
          <w:tcPr>
            <w:tcW w:type="dxa" w:w="1514"/>
          </w:tcPr>
          <w:p>
            <w:r/>
            <w:r>
              <w:rPr>
                <w:rFonts w:ascii="Verdana" w:hAnsi="Verdana"/>
                <w:b w:val="0"/>
                <w:sz w:val="16"/>
              </w:rPr>
              <w:t>Uncertainty in particle backscatter coefficient</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015067</w:t>
            </w:r>
          </w:p>
        </w:tc>
        <w:tc>
          <w:tcPr>
            <w:tcW w:type="dxa" w:w="1514"/>
          </w:tcPr>
          <w:p>
            <w:r/>
            <w:r>
              <w:rPr>
                <w:rFonts w:ascii="Verdana" w:hAnsi="Verdana"/>
                <w:b w:val="0"/>
                <w:sz w:val="16"/>
              </w:rPr>
              <w:t>Particle extinction coefficient</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015068</w:t>
            </w:r>
          </w:p>
        </w:tc>
        <w:tc>
          <w:tcPr>
            <w:tcW w:type="dxa" w:w="1514"/>
          </w:tcPr>
          <w:p>
            <w:r/>
            <w:r>
              <w:rPr>
                <w:rFonts w:ascii="Verdana" w:hAnsi="Verdana"/>
                <w:b w:val="0"/>
                <w:sz w:val="16"/>
              </w:rPr>
              <w:t>Uncertainty in particle extinction coefficient</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015069</w:t>
            </w:r>
          </w:p>
        </w:tc>
        <w:tc>
          <w:tcPr>
            <w:tcW w:type="dxa" w:w="1514"/>
          </w:tcPr>
          <w:p>
            <w:r/>
            <w:r>
              <w:rPr>
                <w:rFonts w:ascii="Verdana" w:hAnsi="Verdana"/>
                <w:b w:val="0"/>
                <w:sz w:val="16"/>
              </w:rPr>
              <w:t>Particle lidar ratio</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015070</w:t>
            </w:r>
          </w:p>
        </w:tc>
        <w:tc>
          <w:tcPr>
            <w:tcW w:type="dxa" w:w="1514"/>
          </w:tcPr>
          <w:p>
            <w:r/>
            <w:r>
              <w:rPr>
                <w:rFonts w:ascii="Verdana" w:hAnsi="Verdana"/>
                <w:b w:val="0"/>
                <w:sz w:val="16"/>
              </w:rPr>
              <w:t>Uncertainty in lidar ratio</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015071</w:t>
            </w:r>
          </w:p>
        </w:tc>
        <w:tc>
          <w:tcPr>
            <w:tcW w:type="dxa" w:w="1514"/>
          </w:tcPr>
          <w:p>
            <w:r/>
            <w:r>
              <w:rPr>
                <w:rFonts w:ascii="Verdana" w:hAnsi="Verdana"/>
                <w:b w:val="0"/>
                <w:sz w:val="16"/>
              </w:rPr>
              <w:t>Particle depolarization ratio</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015072</w:t>
            </w:r>
          </w:p>
        </w:tc>
        <w:tc>
          <w:tcPr>
            <w:tcW w:type="dxa" w:w="1514"/>
          </w:tcPr>
          <w:p>
            <w:r/>
            <w:r>
              <w:rPr>
                <w:rFonts w:ascii="Verdana" w:hAnsi="Verdana"/>
                <w:b w:val="0"/>
                <w:sz w:val="16"/>
              </w:rPr>
              <w:t>Uncertainty in depolarization ratio</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015073</w:t>
            </w:r>
          </w:p>
        </w:tc>
        <w:tc>
          <w:tcPr>
            <w:tcW w:type="dxa" w:w="1514"/>
          </w:tcPr>
          <w:p>
            <w:r/>
            <w:r>
              <w:rPr>
                <w:rFonts w:ascii="Verdana" w:hAnsi="Verdana"/>
                <w:b w:val="0"/>
                <w:sz w:val="16"/>
              </w:rPr>
              <w:t>Attenuated backscatter</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015074</w:t>
            </w:r>
          </w:p>
        </w:tc>
        <w:tc>
          <w:tcPr>
            <w:tcW w:type="dxa" w:w="1514"/>
          </w:tcPr>
          <w:p>
            <w:r/>
            <w:r>
              <w:rPr>
                <w:rFonts w:ascii="Verdana" w:hAnsi="Verdana"/>
                <w:b w:val="0"/>
                <w:sz w:val="16"/>
              </w:rPr>
              <w:t>Particle backscatter coefficient</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015075</w:t>
            </w:r>
          </w:p>
        </w:tc>
        <w:tc>
          <w:tcPr>
            <w:tcW w:type="dxa" w:w="1514"/>
          </w:tcPr>
          <w:p>
            <w:r/>
            <w:r>
              <w:rPr>
                <w:rFonts w:ascii="Verdana" w:hAnsi="Verdana"/>
                <w:b w:val="0"/>
                <w:sz w:val="16"/>
              </w:rPr>
              <w:t>Particle extinction coefficient</w:t>
            </w:r>
          </w:p>
        </w:tc>
        <w:tc>
          <w:tcPr>
            <w:tcW w:type="dxa" w:w="1514"/>
          </w:tcPr>
          <w:p>
            <w:r/>
            <w:r>
              <w:rPr>
                <w:rFonts w:ascii="Verdana" w:hAnsi="Verdana"/>
                <w:b w:val="0"/>
                <w:sz w:val="16"/>
              </w:rPr>
              <w:t>m</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015076</w:t>
            </w:r>
          </w:p>
        </w:tc>
        <w:tc>
          <w:tcPr>
            <w:tcW w:type="dxa" w:w="1514"/>
          </w:tcPr>
          <w:p>
            <w:r/>
            <w:r>
              <w:rPr>
                <w:rFonts w:ascii="Verdana" w:hAnsi="Verdana"/>
                <w:b w:val="0"/>
                <w:sz w:val="16"/>
              </w:rPr>
              <w:t>Particle lidar ratio</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-2048</w:t>
            </w:r>
          </w:p>
        </w:tc>
        <w:tc>
          <w:tcPr>
            <w:tcW w:type="dxa" w:w="1514"/>
          </w:tcPr>
          <w:p>
            <w:r/>
            <w:r>
              <w:rPr>
                <w:rFonts w:ascii="Verdana" w:hAnsi="Verdana"/>
                <w:b w:val="0"/>
                <w:sz w:val="16"/>
              </w:rPr>
              <w:t>13</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015077</w:t>
            </w:r>
          </w:p>
        </w:tc>
        <w:tc>
          <w:tcPr>
            <w:tcW w:type="dxa" w:w="1514"/>
          </w:tcPr>
          <w:p>
            <w:r/>
            <w:r>
              <w:rPr>
                <w:rFonts w:ascii="Verdana" w:hAnsi="Verdana"/>
                <w:b w:val="0"/>
                <w:sz w:val="16"/>
              </w:rPr>
              <w:t>Uncertainty in lidar ratio</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015078</w:t>
            </w:r>
          </w:p>
        </w:tc>
        <w:tc>
          <w:tcPr>
            <w:tcW w:type="dxa" w:w="1514"/>
          </w:tcPr>
          <w:p>
            <w:r/>
            <w:r>
              <w:rPr>
                <w:rFonts w:ascii="Verdana" w:hAnsi="Verdana"/>
                <w:b w:val="0"/>
                <w:sz w:val="16"/>
              </w:rPr>
              <w:t>Particle depolarization ratio</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-8192</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015079</w:t>
            </w:r>
          </w:p>
        </w:tc>
        <w:tc>
          <w:tcPr>
            <w:tcW w:type="dxa" w:w="1514"/>
          </w:tcPr>
          <w:p>
            <w:r/>
            <w:r>
              <w:rPr>
                <w:rFonts w:ascii="Verdana" w:hAnsi="Verdana"/>
                <w:b w:val="0"/>
                <w:sz w:val="16"/>
              </w:rPr>
              <w:t>Zenith path delay due to neutral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1514"/>
          </w:tcPr>
          <w:p>
            <w:r/>
            <w:r>
              <w:rPr>
                <w:rFonts w:ascii="Verdana" w:hAnsi="Verdana"/>
                <w:b w:val="0"/>
                <w:sz w:val="16"/>
              </w:rPr>
              <w:t>015080</w:t>
            </w:r>
          </w:p>
        </w:tc>
        <w:tc>
          <w:tcPr>
            <w:tcW w:type="dxa" w:w="1514"/>
          </w:tcPr>
          <w:p>
            <w:r/>
            <w:r>
              <w:rPr>
                <w:rFonts w:ascii="Verdana" w:hAnsi="Verdana"/>
                <w:b w:val="0"/>
                <w:sz w:val="16"/>
              </w:rPr>
              <w:t>Estimated error in neutral atmosphere zenith 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015081</w:t>
            </w:r>
          </w:p>
        </w:tc>
        <w:tc>
          <w:tcPr>
            <w:tcW w:type="dxa" w:w="1514"/>
          </w:tcPr>
          <w:p>
            <w:r/>
            <w:r>
              <w:rPr>
                <w:rFonts w:ascii="Verdana" w:hAnsi="Verdana"/>
                <w:b w:val="0"/>
                <w:sz w:val="16"/>
              </w:rPr>
              <w:t>Wet path delay due to neutral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w:t>
            </w:r>
          </w:p>
        </w:tc>
        <w:tc>
          <w:tcPr>
            <w:tcW w:type="dxa" w:w="1514"/>
          </w:tcPr>
          <w:p>
            <w:r/>
            <w:r>
              <w:rPr>
                <w:rFonts w:ascii="Verdana" w:hAnsi="Verdana"/>
                <w:b w:val="0"/>
                <w:sz w:val="16"/>
              </w:rPr>
              <w:t>Note 6: Code table values: FRQ = code figure 8 (8 oktas) OCNL EMBD = code figure 6 (6 oktas) ISOL = code figure 2 (2 oktas) when the cloud = Cb.</w:t>
            </w:r>
          </w:p>
        </w:tc>
      </w:tr>
      <w:tr>
        <w:trPr>
          <w:cantSplit/>
        </w:trPr>
        <w:tc>
          <w:tcPr>
            <w:tcW w:type="dxa" w:w="1514"/>
          </w:tcPr>
          <w:p>
            <w:r/>
            <w:r>
              <w:rPr>
                <w:rFonts w:ascii="Verdana" w:hAnsi="Verdana"/>
                <w:b w:val="0"/>
                <w:sz w:val="16"/>
              </w:rPr>
              <w:t>015082</w:t>
            </w:r>
          </w:p>
        </w:tc>
        <w:tc>
          <w:tcPr>
            <w:tcW w:type="dxa" w:w="1514"/>
          </w:tcPr>
          <w:p>
            <w:r/>
            <w:r>
              <w:rPr>
                <w:rFonts w:ascii="Verdana" w:hAnsi="Verdana"/>
                <w:b w:val="0"/>
                <w:sz w:val="16"/>
              </w:rPr>
              <w:t>Path integrated water vapour</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w:t>
            </w:r>
          </w:p>
        </w:tc>
        <w:tc>
          <w:tcPr>
            <w:tcW w:type="dxa" w:w="1514"/>
          </w:tcPr>
          <w:p>
            <w:r/>
            <w:r>
              <w:rPr>
                <w:rFonts w:ascii="Verdana" w:hAnsi="Verdana"/>
                <w:b w:val="0"/>
                <w:sz w:val="16"/>
              </w:rPr>
              <w:t>Note 16: Each BUFR message may contain data for a number of locations; the BUFR compression technique involves negligible overheads for data items that are invariant.</w:t>
            </w:r>
          </w:p>
        </w:tc>
      </w:tr>
      <w:tr>
        <w:trPr>
          <w:cantSplit/>
        </w:trPr>
        <w:tc>
          <w:tcPr>
            <w:tcW w:type="dxa" w:w="1514"/>
          </w:tcPr>
          <w:p>
            <w:r/>
            <w:r>
              <w:rPr>
                <w:rFonts w:ascii="Verdana" w:hAnsi="Verdana"/>
                <w:b w:val="0"/>
                <w:sz w:val="16"/>
              </w:rPr>
              <w:t>015083</w:t>
            </w:r>
          </w:p>
        </w:tc>
        <w:tc>
          <w:tcPr>
            <w:tcW w:type="dxa" w:w="1514"/>
          </w:tcPr>
          <w:p>
            <w:r/>
            <w:r>
              <w:rPr>
                <w:rFonts w:ascii="Verdana" w:hAnsi="Verdana"/>
                <w:b w:val="0"/>
                <w:sz w:val="16"/>
              </w:rPr>
              <w:t>GNSS derived neutral atmosphere gradient</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-8192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9</w:t>
            </w:r>
          </w:p>
        </w:tc>
        <w:tc>
          <w:tcPr>
            <w:tcW w:type="dxa" w:w="1514"/>
          </w:tcPr>
          <w:p>
            <w:r/>
            <w:r>
              <w:rPr>
                <w:rFonts w:ascii="Verdana" w:hAnsi="Verdana"/>
                <w:b w:val="0"/>
                <w:sz w:val="16"/>
              </w:rPr>
              <w:t>Note 7: Compound BUFR messages may be described within the data description section, if required (e.g. 3 01 041, 3 04 001, 3 04 002, 3 04 003, 3 04 004, 3 04 005, 3 04 006).</w:t>
            </w:r>
          </w:p>
        </w:tc>
      </w:tr>
      <w:tr>
        <w:trPr>
          <w:cantSplit/>
        </w:trPr>
        <w:tc>
          <w:tcPr>
            <w:tcW w:type="dxa" w:w="1514"/>
          </w:tcPr>
          <w:p>
            <w:r/>
            <w:r>
              <w:rPr>
                <w:rFonts w:ascii="Verdana" w:hAnsi="Verdana"/>
                <w:b w:val="0"/>
                <w:sz w:val="16"/>
              </w:rPr>
              <w:t>015084</w:t>
            </w:r>
          </w:p>
        </w:tc>
        <w:tc>
          <w:tcPr>
            <w:tcW w:type="dxa" w:w="1514"/>
          </w:tcPr>
          <w:p>
            <w:r/>
            <w:r>
              <w:rPr>
                <w:rFonts w:ascii="Verdana" w:hAnsi="Verdana"/>
                <w:b w:val="0"/>
                <w:sz w:val="16"/>
              </w:rPr>
              <w:t>GNSS least squares residual</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17: Each position of road sensors includes the measurements of: - Road surface temperature - Road subsurface temperatures - Water film thickness - Road surface condition</w:t>
            </w:r>
          </w:p>
        </w:tc>
      </w:tr>
      <w:tr>
        <w:trPr>
          <w:cantSplit/>
        </w:trPr>
        <w:tc>
          <w:tcPr>
            <w:tcW w:type="dxa" w:w="1514"/>
          </w:tcPr>
          <w:p>
            <w:r/>
            <w:r>
              <w:rPr>
                <w:rFonts w:ascii="Verdana" w:hAnsi="Verdana"/>
                <w:b w:val="0"/>
                <w:sz w:val="16"/>
              </w:rPr>
              <w:t>015085</w:t>
            </w:r>
          </w:p>
        </w:tc>
        <w:tc>
          <w:tcPr>
            <w:tcW w:type="dxa" w:w="1514"/>
          </w:tcPr>
          <w:p>
            <w:r/>
            <w:r>
              <w:rPr>
                <w:rFonts w:ascii="Verdana" w:hAnsi="Verdana"/>
                <w:b w:val="0"/>
                <w:sz w:val="16"/>
              </w:rPr>
              <w:t>GNSS multi-path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8: Data represented by this sequence should be sorted in descending order with respect to pressure.</w:t>
            </w:r>
          </w:p>
        </w:tc>
      </w:tr>
      <w:tr>
        <w:trPr>
          <w:cantSplit/>
        </w:trPr>
        <w:tc>
          <w:tcPr>
            <w:tcW w:type="dxa" w:w="1514"/>
          </w:tcPr>
          <w:p>
            <w:r/>
            <w:r>
              <w:rPr>
                <w:rFonts w:ascii="Verdana" w:hAnsi="Verdana"/>
                <w:b w:val="0"/>
                <w:sz w:val="16"/>
              </w:rPr>
              <w:t>015086</w:t>
            </w:r>
          </w:p>
        </w:tc>
        <w:tc>
          <w:tcPr>
            <w:tcW w:type="dxa" w:w="1514"/>
          </w:tcPr>
          <w:p>
            <w:r/>
            <w:r>
              <w:rPr>
                <w:rFonts w:ascii="Verdana" w:hAnsi="Verdana"/>
                <w:b w:val="0"/>
                <w:sz w:val="16"/>
              </w:rPr>
              <w:t>GNSS hydrostatic mapping function</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r/>
            <w:r>
              <w:rPr>
                <w:rFonts w:ascii="Verdana" w:hAnsi="Verdana"/>
                <w:b w:val="0"/>
                <w:sz w:val="16"/>
              </w:rPr>
              <w:t>015087</w:t>
            </w:r>
          </w:p>
        </w:tc>
        <w:tc>
          <w:tcPr>
            <w:tcW w:type="dxa" w:w="1514"/>
          </w:tcPr>
          <w:p>
            <w:r/>
            <w:r>
              <w:rPr>
                <w:rFonts w:ascii="Verdana" w:hAnsi="Verdana"/>
                <w:b w:val="0"/>
                <w:sz w:val="16"/>
              </w:rPr>
              <w:t>GNSS wet mapping function</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r/>
            <w:r>
              <w:rPr>
                <w:rFonts w:ascii="Verdana" w:hAnsi="Verdana"/>
                <w:b w:val="0"/>
                <w:sz w:val="16"/>
              </w:rPr>
              <w:t>015088</w:t>
            </w:r>
          </w:p>
        </w:tc>
        <w:tc>
          <w:tcPr>
            <w:tcW w:type="dxa" w:w="1514"/>
          </w:tcPr>
          <w:p>
            <w:r/>
            <w:r>
              <w:rPr>
                <w:rFonts w:ascii="Verdana" w:hAnsi="Verdana"/>
                <w:b w:val="0"/>
                <w:sz w:val="16"/>
              </w:rPr>
              <w:t>GNSS gradient mapping function</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r/>
            <w:r>
              <w:rPr>
                <w:rFonts w:ascii="Verdana" w:hAnsi="Verdana"/>
                <w:b w:val="0"/>
                <w:sz w:val="16"/>
              </w:rPr>
              <w:t>015089</w:t>
            </w:r>
          </w:p>
        </w:tc>
        <w:tc>
          <w:tcPr>
            <w:tcW w:type="dxa" w:w="1514"/>
          </w:tcPr>
          <w:p>
            <w:r/>
            <w:r>
              <w:rPr>
                <w:rFonts w:ascii="Verdana" w:hAnsi="Verdana"/>
                <w:b w:val="0"/>
                <w:sz w:val="16"/>
              </w:rPr>
              <w:t>Zenith path delay due to neutral hydrostatic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18: No operator descriptors are reserved for local use.</w:t>
            </w:r>
          </w:p>
        </w:tc>
      </w:tr>
      <w:tr>
        <w:trPr>
          <w:cantSplit/>
        </w:trPr>
        <w:tc>
          <w:tcPr>
            <w:tcW w:type="dxa" w:w="1514"/>
          </w:tcPr>
          <w:p>
            <w:r/>
            <w:r>
              <w:rPr>
                <w:rFonts w:ascii="Verdana" w:hAnsi="Verdana"/>
                <w:b w:val="0"/>
                <w:sz w:val="16"/>
              </w:rPr>
              <w:t>015090</w:t>
            </w:r>
          </w:p>
        </w:tc>
        <w:tc>
          <w:tcPr>
            <w:tcW w:type="dxa" w:w="1514"/>
          </w:tcPr>
          <w:p>
            <w:r/>
            <w:r>
              <w:rPr>
                <w:rFonts w:ascii="Verdana" w:hAnsi="Verdana"/>
                <w:b w:val="0"/>
                <w:sz w:val="16"/>
              </w:rPr>
              <w:t>Path delay due to neutral hydrostatic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11</w:t>
            </w:r>
          </w:p>
        </w:tc>
        <w:tc>
          <w:tcPr>
            <w:tcW w:type="dxa" w:w="1514"/>
          </w:tcPr>
          <w:p>
            <w:r/>
            <w:r>
              <w:rPr>
                <w:rFonts w:ascii="Verdana" w:hAnsi="Verdana"/>
                <w:b w:val="0"/>
                <w:sz w:val="16"/>
              </w:rPr>
              <w:t>Note 19: An event, as defined for use with operators 2 41 000 and 2 42 000, is a set of one or more circumstances described using appropriate Table B descriptors along with their corresponding data values. The grouping of such descriptors together as a single "event" allows them to be collectively assigned as the target of a separate descriptor such as 0 33 045 or 0 33 046. When defining a circumstance within an event, descriptor 0 33 042 may be employed preceding the appropriate Table B descriptor in order to indicate that the corresponding value is actually a bound for a range of values.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