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19: Synoptic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synoptic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138: The effective radius of feature shall be defined with respect to the radius of the 1000-hPa isobars at mean sea level.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Wind speed threshold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Maximum wind and effective radius of maximum wind shall be indicated by means of the 0 19 003 and 0 19 004 entries.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99: Maximum wind and effective radius of maximum wind shall be indicated by means of the 0 19 003 and 0 19 004 entries.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of motion of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To construct the required time range, descriptor 0 04 024 has to be included two times.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Speed of motion of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73: To construct the required time range, descriptor 0 04 024 has to be included two times.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of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extent of circulation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Effective radius with respect to wind speeds above threshold (large storms)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Method for tracking the centre of synoptic feature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to calculate the movement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Accuracy of the position of the centre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Shape and definition of the eye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Diameter of major axis of the eye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Change in character of the eye during the 30 minutes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between the end of spiral band and the centre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number of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Time interval over which the movement of the tropical cyclone has been calculated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Accuracy of geographical position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Mean diameter of the overcast cloud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Apparent 24-hour change in intensity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Current Intensity (CI) number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Data Tropical (DT) number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Cloud pattern type of the DT-number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Model Expected Tropical (MET) number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Trend of the past 24-hour change (+: Developed, -: Weakened)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Pattern Tropical (PT) number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Cloud picture type of the PT-number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Final Tropical (T) number of the tropical cyclone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of the final T-number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019150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Typhoon International Common Number (Typhoon Committee)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Character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