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23: Dispersal and transport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Accident early notification - article applicable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Activity or facility involved in incident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of release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Countermeasures taken near border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Cause of incident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Incident situation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Characteristics of release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State of current release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State of expected release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Possibility of significant chemical toxic health effect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Flow discharge of major recipient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Release behaviour over time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Actual release height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Effective release height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of release point or site of incident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Main transport speed in the atmosphere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Main transport speed in water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Main transport speed in ground water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Main transport direction in the atmosphere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Main transport direction in water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Main transport direction in ground water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Possibility that plume will encounter precipitation in State in which incident occurred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Plume will encounter change in wind direction and/or speed flag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Flow discharge - river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Flow discharge - well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