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21: Radar report sequences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profiler - antenna characteristics)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antenna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effective surface area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antenna gain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3-dB beamwidth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Sidelobe suppression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profiler - moment data)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power above 1 mW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(radial)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profiler - moment data sounding)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and type of station, date/time, location (high accuracy), height of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measuring equipment used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3 21 003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profiler - moment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(Transmitter-receiver characteristics)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Echo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Frequency agility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Peak power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Average power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Pulse repetition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Pulse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Receiver intermediate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Intermediate frequency bandwidth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detectable signal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Dynamic range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Sensitivity time control (STC)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(Integration characteristics)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Range-gate 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gates averaged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integrated pulses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Echo integration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(Corrections)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Calibration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Clutter treatment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Ground occultation correction (screening)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Range attenuation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Bright-band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Radome attenuation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Clear-air attenuation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Precipitation attenuation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(Z to R conversion)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 to R conversion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 to R conversion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Z to R conversion exponent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3 21 009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 to Z law)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to Z law for attenuation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 to Z law for attenuation exponent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(Antenna characteristics)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antenna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or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the tower base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height above tower base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Radome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antenna gain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3-dB beamwidth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Sidelobe suppression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Crosspol discrimination (on axis)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speed (azimuth)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speed (elevation)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Azimuth pointing accuracy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Elevation pointing accuracy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(General characteristics)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Picture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Combination with other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Coordinate grid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(Antenna elevations)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(Basic information (system/site header) on wind profiler/RASS)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measuring equipment used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antenna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8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3-dB beamwidth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-6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Mean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11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Range-gate length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profiler: processed-data 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profiler: raw-data winds)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(radial)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(RASS-mode: processed-data RASS)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Virtual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w-component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(RASS-mode: raw-data RASS)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signal Doppler spectrum 0th moment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mean velocity (radial)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RASS signal Doppler spectrum 0th moment, referring to RASS signal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to noise ratio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Referring to RASS signal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Acoustic propagation velocity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Doppler velocity spectral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Referring to RASS signal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(RASS data - fluxes)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bit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Virtual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Structure constant of the refraction index (Cn2)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Turbulent vertical momentum flux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Turbulent vertical buoyancy flux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Turbulent kinetic energy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0 11 074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Dissipation energy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(Radar specification, normalized radar cross-section, Kp variance coefficient)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look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Normalized radar cross-section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(alpha)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(beta)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(gamma)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sigma-0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sigma-0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land/ice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variance quality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(Radar specification, SEAWINDS normalized radar cross-section, Kp variance coefficient)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Attenuation correction on sigma-0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look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polarization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normalized radar cross-section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(alpha)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(beta)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Kp variance coefficient (gamma)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sigma-0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sigma-0 mode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SEAWINDS land/ice surface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Sigma-0 variance quality control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(ASCAT sigma-0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Beam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 by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width by 3 bits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incidence angle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Antenna beam azimuth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Backscatter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Radiometric resolution (noise value)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Kp estimate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sigma-0 usability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use of synthetic data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synthetic data quantity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satellite orbit and attitude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solar array reflection contamination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telemetry presence and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ASCAT extrapolated reference function presence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 fraction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3 21 031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radar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identifier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Identification of originating/generating sub-centre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Year, month, day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Hour, minute, second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Atmospheric chemical or physical constituent type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Processing level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Delayed replication of 6 descriptors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(high resolution)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Radar reflectivity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radar reflectivity factor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Doppler velocity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0 21 010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Uncertainty in vertical Doppler velocity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