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11</w:t>
      </w:r>
    </w:p>
    <w:p>
      <w:r>
        <w:rPr>
          <w:rFonts w:ascii="Verdana" w:hAnsi="Verdana"/>
          <w:b/>
          <w:sz w:val="18"/>
        </w:rPr>
        <w:t>011030  Grado de turbulencia ampliado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Ligera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Ligera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Ligera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Extrema, 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Extrema, 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Extrema, 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Ligera, moderada aislada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Ligera, moderada ocasional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Ligera, moderada frecuente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Moderada, fuerte aislada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Moderada, fuerte ocasional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Moderada, fuerte frecuente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Severa, extrema aislada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Severa, extrema ocasional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Severa, extrema frecuente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24-62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011031  Grado de turbulencia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Leve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Leve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Leve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Extrema, en cielo despejado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Extrema, en cielo nuboso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Extrema, en cielo nuboso/despejado -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011037  Índice de turbulencia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máx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≤máx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máx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máx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≤máx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≤máx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med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med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med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≤med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med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≤med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 turbulencia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 turbulencia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29-62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011038  Hora a la que se produce la máxima tasa de disipación de los remolinos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horaria no disponible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011039  Hora ampliada a la que se produce la máxima tasa de disipación de los remolinos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15-59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Como anteriormente hasta 59 ≤ min &lt; 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horaria no disponible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