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30</w:t>
      </w:r>
    </w:p>
    <w:p>
      <w:r>
        <w:rPr>
          <w:rFonts w:ascii="Verdana" w:hAnsi="Verdana"/>
          <w:b/>
          <w:sz w:val="18"/>
        </w:rPr>
        <w:t>030031  Tipo de imagen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PPI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Compuesta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CAPPI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Sección vertical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Datos alfanuméricos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Mapa de ecos parásitos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Mapa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Imagen de prueba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Comentarios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Carta de ocultación del suelo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Carta de la altura del haz de radar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Otros datos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030032  Combinación con otros datos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Mapa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Datos satelitales en infrarrojo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Datos satelitales en el espectro visible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Datos satelitales en las bandas de la absorción del vapor de agua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Datos satelitales multiespectrales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Observaciones sinópticas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Parámetros previstos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Datos sobre descargas eléctricas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Otros datos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