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07: Ubicación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007001</w:t>
            </w:r>
          </w:p>
        </w:tc>
        <w:tc>
          <w:tcPr>
            <w:tcW w:type="dxa" w:w="1514"/>
          </w:tcPr>
          <w:p>
            <w:r/>
            <w:r>
              <w:rPr>
                <w:rFonts w:ascii="Verdana" w:hAnsi="Verdana"/>
                <w:b w:val="0"/>
                <w:sz w:val="16"/>
              </w:rPr>
              <w:t>Altura de la estación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116: Con respecto a datos provenientes de estaciones basadas en tierra, este descriptor debería utilizarse solamente para datos archivados. Los descriptores 0 07 030 y 0 07 031 deberían utilizarse y preferirse para representar la elevación del suelo y la elevación del barómetro, respectivamente, según se define en Informes Meteorológicos (OMM-Nº 9), volumen A, Estaciones de observación. Con respecto a estaciones marinas, este descriptor se refiere a la altura sobre el nivel medio del mar del puente de la plataforma marina donde reposa el instrumento.</w:t>
            </w:r>
          </w:p>
        </w:tc>
      </w:tr>
      <w:tr>
        <w:trPr>
          <w:cantSplit/>
        </w:trPr>
        <w:tc>
          <w:tcPr>
            <w:tcW w:type="dxa" w:w="1514"/>
          </w:tcPr>
          <w:p>
            <w:r/>
            <w:r>
              <w:rPr>
                <w:rFonts w:ascii="Verdana" w:hAnsi="Verdana"/>
                <w:b w:val="0"/>
                <w:sz w:val="16"/>
              </w:rPr>
              <w:t>007002</w:t>
            </w:r>
          </w:p>
        </w:tc>
        <w:tc>
          <w:tcPr>
            <w:tcW w:type="dxa" w:w="1514"/>
          </w:tcPr>
          <w:p>
            <w:r/>
            <w:r>
              <w:rPr>
                <w:rFonts w:ascii="Verdana" w:hAnsi="Verdana"/>
                <w:b w:val="0"/>
                <w:sz w:val="16"/>
              </w:rPr>
              <w:t>Altura o altitud</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007003</w:t>
            </w:r>
          </w:p>
        </w:tc>
        <w:tc>
          <w:tcPr>
            <w:tcW w:type="dxa" w:w="1514"/>
          </w:tcPr>
          <w:p>
            <w:r/>
            <w:r>
              <w:rPr>
                <w:rFonts w:ascii="Verdana" w:hAnsi="Verdana"/>
                <w:b w:val="0"/>
                <w:sz w:val="16"/>
              </w:rPr>
              <w:t>Geopotencial</w:t>
            </w:r>
          </w:p>
        </w:tc>
        <w:tc>
          <w:tcPr>
            <w:tcW w:type="dxa" w:w="1514"/>
          </w:tcPr>
          <w:p>
            <w:r/>
            <w:r>
              <w:rPr>
                <w:rFonts w:ascii="Verdana" w:hAnsi="Verdana"/>
                <w:b w:val="0"/>
                <w:sz w:val="16"/>
              </w:rPr>
              <w:t>m² s-2</w:t>
            </w:r>
          </w:p>
        </w:tc>
        <w:tc>
          <w:tcPr>
            <w:tcW w:type="dxa" w:w="1514"/>
          </w:tcPr>
          <w:p>
            <w:r/>
            <w:r>
              <w:rPr>
                <w:rFonts w:ascii="Verdana" w:hAnsi="Verdana"/>
                <w:b w:val="0"/>
                <w:sz w:val="16"/>
              </w:rPr>
              <w:t>-1</w:t>
            </w:r>
          </w:p>
        </w:tc>
        <w:tc>
          <w:tcPr>
            <w:tcW w:type="dxa" w:w="1514"/>
          </w:tcPr>
          <w:p>
            <w:r/>
            <w:r>
              <w:rPr>
                <w:rFonts w:ascii="Verdana" w:hAnsi="Verdana"/>
                <w:b w:val="0"/>
                <w:sz w:val="16"/>
              </w:rPr>
              <w:t>-400</w:t>
            </w:r>
          </w:p>
        </w:tc>
        <w:tc>
          <w:tcPr>
            <w:tcW w:type="dxa" w:w="1514"/>
          </w:tcPr>
          <w:p>
            <w:r/>
            <w:r>
              <w:rPr>
                <w:rFonts w:ascii="Verdana" w:hAnsi="Verdana"/>
                <w:b w:val="0"/>
                <w:sz w:val="16"/>
              </w:rPr>
              <w:t>17</w:t>
            </w:r>
          </w:p>
        </w:tc>
        <w:tc>
          <w:tcPr>
            <w:tcW w:type="dxa" w:w="1514"/>
          </w:tcPr>
          <w:p>
            <w:r/>
            <w:r>
              <w:rPr>
                <w:rFonts w:ascii="Verdana" w:hAnsi="Verdana"/>
                <w:b w:val="0"/>
                <w:sz w:val="16"/>
              </w:rPr>
              <w:t>m² s-2</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007004</w:t>
            </w:r>
          </w:p>
        </w:tc>
        <w:tc>
          <w:tcPr>
            <w:tcW w:type="dxa" w:w="1514"/>
          </w:tcPr>
          <w:p>
            <w:r/>
            <w:r>
              <w:rPr>
                <w:rFonts w:ascii="Verdana" w:hAnsi="Verdana"/>
                <w:b w:val="0"/>
                <w:sz w:val="16"/>
              </w:rPr>
              <w:t>Presión</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007005</w:t>
            </w:r>
          </w:p>
        </w:tc>
        <w:tc>
          <w:tcPr>
            <w:tcW w:type="dxa" w:w="1514"/>
          </w:tcPr>
          <w:p>
            <w:r/>
            <w:r>
              <w:rPr>
                <w:rFonts w:ascii="Verdana" w:hAnsi="Verdana"/>
                <w:b w:val="0"/>
                <w:sz w:val="16"/>
              </w:rPr>
              <w:t>Incremento de la altura</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-400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007006</w:t>
            </w:r>
          </w:p>
        </w:tc>
        <w:tc>
          <w:tcPr>
            <w:tcW w:type="dxa" w:w="1514"/>
          </w:tcPr>
          <w:p>
            <w:r/>
            <w:r>
              <w:rPr>
                <w:rFonts w:ascii="Verdana" w:hAnsi="Verdana"/>
                <w:b w:val="0"/>
                <w:sz w:val="16"/>
              </w:rPr>
              <w:t>Altura por encima de la estación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007007</w:t>
            </w:r>
          </w:p>
        </w:tc>
        <w:tc>
          <w:tcPr>
            <w:tcW w:type="dxa" w:w="1514"/>
          </w:tcPr>
          <w:p>
            <w:r/>
            <w:r>
              <w:rPr>
                <w:rFonts w:ascii="Verdana" w:hAnsi="Verdana"/>
                <w:b w:val="0"/>
                <w:sz w:val="16"/>
              </w:rPr>
              <w:t>Altura</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-1000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007008</w:t>
            </w:r>
          </w:p>
        </w:tc>
        <w:tc>
          <w:tcPr>
            <w:tcW w:type="dxa" w:w="1514"/>
          </w:tcPr>
          <w:p>
            <w:r/>
            <w:r>
              <w:rPr>
                <w:rFonts w:ascii="Verdana" w:hAnsi="Verdana"/>
                <w:b w:val="0"/>
                <w:sz w:val="16"/>
              </w:rPr>
              <w:t>Geopotencial</w:t>
            </w:r>
          </w:p>
        </w:tc>
        <w:tc>
          <w:tcPr>
            <w:tcW w:type="dxa" w:w="1514"/>
          </w:tcPr>
          <w:p>
            <w:r/>
            <w:r>
              <w:rPr>
                <w:rFonts w:ascii="Verdana" w:hAnsi="Verdana"/>
                <w:b w:val="0"/>
                <w:sz w:val="16"/>
              </w:rPr>
              <w:t>m² s-2</w:t>
            </w:r>
          </w:p>
        </w:tc>
        <w:tc>
          <w:tcPr>
            <w:tcW w:type="dxa" w:w="1514"/>
          </w:tcPr>
          <w:p>
            <w:r/>
            <w:r>
              <w:rPr>
                <w:rFonts w:ascii="Verdana" w:hAnsi="Verdana"/>
                <w:b w:val="0"/>
                <w:sz w:val="16"/>
              </w:rPr>
              <w:t>0</w:t>
            </w:r>
          </w:p>
        </w:tc>
        <w:tc>
          <w:tcPr>
            <w:tcW w:type="dxa" w:w="1514"/>
          </w:tcPr>
          <w:p>
            <w:r/>
            <w:r>
              <w:rPr>
                <w:rFonts w:ascii="Verdana" w:hAnsi="Verdana"/>
                <w:b w:val="0"/>
                <w:sz w:val="16"/>
              </w:rPr>
              <w:t>-10000</w:t>
            </w:r>
          </w:p>
        </w:tc>
        <w:tc>
          <w:tcPr>
            <w:tcW w:type="dxa" w:w="1514"/>
          </w:tcPr>
          <w:p>
            <w:r/>
            <w:r>
              <w:rPr>
                <w:rFonts w:ascii="Verdana" w:hAnsi="Verdana"/>
                <w:b w:val="0"/>
                <w:sz w:val="16"/>
              </w:rPr>
              <w:t>20</w:t>
            </w:r>
          </w:p>
        </w:tc>
        <w:tc>
          <w:tcPr>
            <w:tcW w:type="dxa" w:w="1514"/>
          </w:tcPr>
          <w:p>
            <w:r/>
            <w:r>
              <w:rPr>
                <w:rFonts w:ascii="Verdana" w:hAnsi="Verdana"/>
                <w:b w:val="0"/>
                <w:sz w:val="16"/>
              </w:rPr>
              <w:t>m² s-2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007009</w:t>
            </w:r>
          </w:p>
        </w:tc>
        <w:tc>
          <w:tcPr>
            <w:tcW w:type="dxa" w:w="1514"/>
          </w:tcPr>
          <w:p>
            <w:r/>
            <w:r>
              <w:rPr>
                <w:rFonts w:ascii="Verdana" w:hAnsi="Verdana"/>
                <w:b w:val="0"/>
                <w:sz w:val="16"/>
              </w:rPr>
              <w:t>Altura geopotencial</w:t>
            </w:r>
          </w:p>
        </w:tc>
        <w:tc>
          <w:tcPr>
            <w:tcW w:type="dxa" w:w="1514"/>
          </w:tcPr>
          <w:p>
            <w:r/>
            <w:r>
              <w:rPr>
                <w:rFonts w:ascii="Verdana" w:hAnsi="Verdana"/>
                <w:b w:val="0"/>
                <w:sz w:val="16"/>
              </w:rPr>
              <w:t>gpm</w:t>
            </w:r>
          </w:p>
        </w:tc>
        <w:tc>
          <w:tcPr>
            <w:tcW w:type="dxa" w:w="1514"/>
          </w:tcPr>
          <w:p>
            <w:r/>
            <w:r>
              <w:rPr>
                <w:rFonts w:ascii="Verdana" w:hAnsi="Verdana"/>
                <w:b w:val="0"/>
                <w:sz w:val="16"/>
              </w:rPr>
              <w:t>0</w:t>
            </w:r>
          </w:p>
        </w:tc>
        <w:tc>
          <w:tcPr>
            <w:tcW w:type="dxa" w:w="1514"/>
          </w:tcPr>
          <w:p>
            <w:r/>
            <w:r>
              <w:rPr>
                <w:rFonts w:ascii="Verdana" w:hAnsi="Verdana"/>
                <w:b w:val="0"/>
                <w:sz w:val="16"/>
              </w:rPr>
              <w:t>-1000</w:t>
            </w:r>
          </w:p>
        </w:tc>
        <w:tc>
          <w:tcPr>
            <w:tcW w:type="dxa" w:w="1514"/>
          </w:tcPr>
          <w:p>
            <w:r/>
            <w:r>
              <w:rPr>
                <w:rFonts w:ascii="Verdana" w:hAnsi="Verdana"/>
                <w:b w:val="0"/>
                <w:sz w:val="16"/>
              </w:rPr>
              <w:t>17</w:t>
            </w:r>
          </w:p>
        </w:tc>
        <w:tc>
          <w:tcPr>
            <w:tcW w:type="dxa" w:w="1514"/>
          </w:tcPr>
          <w:p>
            <w:r/>
            <w:r>
              <w:rPr>
                <w:rFonts w:ascii="Verdana" w:hAnsi="Verdana"/>
                <w:b w:val="0"/>
                <w:sz w:val="16"/>
              </w:rPr>
              <w:t>gpm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007010</w:t>
            </w:r>
          </w:p>
        </w:tc>
        <w:tc>
          <w:tcPr>
            <w:tcW w:type="dxa" w:w="1514"/>
          </w:tcPr>
          <w:p>
            <w:r/>
            <w:r>
              <w:rPr>
                <w:rFonts w:ascii="Verdana" w:hAnsi="Verdana"/>
                <w:b w:val="0"/>
                <w:sz w:val="16"/>
              </w:rPr>
              <w:t>Nivel de vuelo</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16</w:t>
            </w:r>
          </w:p>
        </w:tc>
        <w:tc>
          <w:tcPr>
            <w:tcW w:type="dxa" w:w="1514"/>
          </w:tcPr>
          <w:p>
            <w:r/>
            <w:r>
              <w:rPr>
                <w:rFonts w:ascii="Verdana" w:hAnsi="Verdana"/>
                <w:b w:val="0"/>
                <w:sz w:val="16"/>
              </w:rPr>
              <w:t>ft</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007012</w:t>
            </w:r>
          </w:p>
        </w:tc>
        <w:tc>
          <w:tcPr>
            <w:tcW w:type="dxa" w:w="1514"/>
          </w:tcPr>
          <w:p>
            <w:r/>
            <w:r>
              <w:rPr>
                <w:rFonts w:ascii="Verdana" w:hAnsi="Verdana"/>
                <w:b w:val="0"/>
                <w:sz w:val="16"/>
              </w:rPr>
              <w:t>Altitud del punto de retícula</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-50000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007021</w:t>
            </w:r>
          </w:p>
        </w:tc>
        <w:tc>
          <w:tcPr>
            <w:tcW w:type="dxa" w:w="1514"/>
          </w:tcPr>
          <w:p>
            <w:r/>
            <w:r>
              <w:rPr>
                <w:rFonts w:ascii="Verdana" w:hAnsi="Verdana"/>
                <w:b w:val="0"/>
                <w:sz w:val="16"/>
              </w:rPr>
              <w:t>Elevación</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68: Esta secuencia queda relegada por utilización incorrecta del descriptor 0 04 075 en la secuencia 3 06 020; en su lugar debería utilizarse la secuencia 3 06 025.</w:t>
            </w:r>
          </w:p>
        </w:tc>
      </w:tr>
      <w:tr>
        <w:trPr>
          <w:cantSplit/>
        </w:trPr>
        <w:tc>
          <w:tcPr>
            <w:tcW w:type="dxa" w:w="1514"/>
          </w:tcPr>
          <w:p>
            <w:r/>
            <w:r>
              <w:rPr>
                <w:rFonts w:ascii="Verdana" w:hAnsi="Verdana"/>
                <w:b w:val="0"/>
                <w:sz w:val="16"/>
              </w:rPr>
              <w:t>007022</w:t>
            </w:r>
          </w:p>
        </w:tc>
        <w:tc>
          <w:tcPr>
            <w:tcW w:type="dxa" w:w="1514"/>
          </w:tcPr>
          <w:p>
            <w:r/>
            <w:r>
              <w:rPr>
                <w:rFonts w:ascii="Verdana" w:hAnsi="Verdana"/>
                <w:b w:val="0"/>
                <w:sz w:val="16"/>
              </w:rPr>
              <w:t>Elevación solar</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007024</w:t>
            </w:r>
          </w:p>
        </w:tc>
        <w:tc>
          <w:tcPr>
            <w:tcW w:type="dxa" w:w="1514"/>
          </w:tcPr>
          <w:p>
            <w:r/>
            <w:r>
              <w:rPr>
                <w:rFonts w:ascii="Verdana" w:hAnsi="Verdana"/>
                <w:b w:val="0"/>
                <w:sz w:val="16"/>
              </w:rPr>
              <w:t>Ángulo cenital del satélite</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007025</w:t>
            </w:r>
          </w:p>
        </w:tc>
        <w:tc>
          <w:tcPr>
            <w:tcW w:type="dxa" w:w="1514"/>
          </w:tcPr>
          <w:p>
            <w:r/>
            <w:r>
              <w:rPr>
                <w:rFonts w:ascii="Verdana" w:hAnsi="Verdana"/>
                <w:b w:val="0"/>
                <w:sz w:val="16"/>
              </w:rPr>
              <w:t>Ángulo cenital del sol</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007026</w:t>
            </w:r>
          </w:p>
        </w:tc>
        <w:tc>
          <w:tcPr>
            <w:tcW w:type="dxa" w:w="1514"/>
          </w:tcPr>
          <w:p>
            <w:r/>
            <w:r>
              <w:rPr>
                <w:rFonts w:ascii="Verdana" w:hAnsi="Verdana"/>
                <w:b w:val="0"/>
                <w:sz w:val="16"/>
              </w:rPr>
              <w:t>Ángulo cenital del satélite</w:t>
            </w:r>
          </w:p>
        </w:tc>
        <w:tc>
          <w:tcPr>
            <w:tcW w:type="dxa" w:w="1514"/>
          </w:tcPr>
          <w:p>
            <w:r/>
            <w:r>
              <w:rPr>
                <w:rFonts w:ascii="Verdana" w:hAnsi="Verdana"/>
                <w:b w:val="0"/>
                <w:sz w:val="16"/>
              </w:rPr>
              <w:t>°</w:t>
            </w:r>
          </w:p>
        </w:tc>
        <w:tc>
          <w:tcPr>
            <w:tcW w:type="dxa" w:w="1514"/>
          </w:tcPr>
          <w:p>
            <w:r/>
            <w:r>
              <w:rPr>
                <w:rFonts w:ascii="Verdana" w:hAnsi="Verdana"/>
                <w:b w:val="0"/>
                <w:sz w:val="16"/>
              </w:rPr>
              <w:t>4</w:t>
            </w:r>
          </w:p>
        </w:tc>
        <w:tc>
          <w:tcPr>
            <w:tcW w:type="dxa" w:w="1514"/>
          </w:tcPr>
          <w:p>
            <w:r/>
            <w:r>
              <w:rPr>
                <w:rFonts w:ascii="Verdana" w:hAnsi="Verdana"/>
                <w:b w:val="0"/>
                <w:sz w:val="16"/>
              </w:rPr>
              <w:t>-900000</w:t>
            </w:r>
          </w:p>
        </w:tc>
        <w:tc>
          <w:tcPr>
            <w:tcW w:type="dxa" w:w="1514"/>
          </w:tcPr>
          <w:p>
            <w:r/>
            <w:r>
              <w:rPr>
                <w:rFonts w:ascii="Verdana" w:hAnsi="Verdana"/>
                <w:b w:val="0"/>
                <w:sz w:val="16"/>
              </w:rPr>
              <w:t>21</w:t>
            </w:r>
          </w:p>
        </w:tc>
        <w:tc>
          <w:tcPr>
            <w:tcW w:type="dxa" w:w="1514"/>
          </w:tcPr>
          <w:p>
            <w:r/>
            <w:r>
              <w:rPr>
                <w:rFonts w:ascii="Verdana" w:hAnsi="Verdana"/>
                <w:b w:val="0"/>
                <w:sz w:val="16"/>
              </w:rPr>
              <w:t>°</w:t>
            </w:r>
          </w:p>
        </w:tc>
        <w:tc>
          <w:tcPr>
            <w:tcW w:type="dxa" w:w="1514"/>
          </w:tcPr>
          <w:p>
            <w:r/>
            <w:r>
              <w:rPr>
                <w:rFonts w:ascii="Verdana" w:hAnsi="Verdana"/>
                <w:b w:val="0"/>
                <w:sz w:val="16"/>
              </w:rPr>
              <w:t>4</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007030</w:t>
            </w:r>
          </w:p>
        </w:tc>
        <w:tc>
          <w:tcPr>
            <w:tcW w:type="dxa" w:w="1514"/>
          </w:tcPr>
          <w:p>
            <w:r/>
            <w:r>
              <w:rPr>
                <w:rFonts w:ascii="Verdana" w:hAnsi="Verdana"/>
                <w:b w:val="0"/>
                <w:sz w:val="16"/>
              </w:rPr>
              <w:t>Altura del suelo de la estación sobre el nivel medio del mar</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t>Note 87: La altura del suelo de la estación sobre el nivel medio del mar se define como la altura sobre el nivel medio del mar del suelo en que se encuentra el pluviómetro o, si no hay pluviómetro, el suelo por debajo del abrigo del termómetro. De no haber pluviómetro ni abrigo, es el nivel medio del terreno en la proximidad de la estación (Referencia: Guía de instrumentos y métodos de observación meteorológicos (OMM-Nº 8), 1996).</w:t>
            </w:r>
          </w:p>
        </w:tc>
      </w:tr>
      <w:tr>
        <w:trPr>
          <w:cantSplit/>
        </w:trPr>
        <w:tc>
          <w:tcPr>
            <w:tcW w:type="dxa" w:w="1514"/>
          </w:tcPr>
          <w:p>
            <w:r/>
            <w:r>
              <w:rPr>
                <w:rFonts w:ascii="Verdana" w:hAnsi="Verdana"/>
                <w:b w:val="0"/>
                <w:sz w:val="16"/>
              </w:rPr>
              <w:t>007031</w:t>
            </w:r>
          </w:p>
        </w:tc>
        <w:tc>
          <w:tcPr>
            <w:tcW w:type="dxa" w:w="1514"/>
          </w:tcPr>
          <w:p>
            <w:r/>
            <w:r>
              <w:rPr>
                <w:rFonts w:ascii="Verdana" w:hAnsi="Verdana"/>
                <w:b w:val="0"/>
                <w:sz w:val="16"/>
              </w:rPr>
              <w:t>Altura del barómetro sobre el nivel medio del mar</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t>Note 84: La altura del barómetro por encima del nivel medio del mar, en referencia a la ubicación del barómetro de una estación, no redefine el descriptor 0 07 030.</w:t>
            </w:r>
          </w:p>
        </w:tc>
      </w:tr>
      <w:tr>
        <w:trPr>
          <w:cantSplit/>
        </w:trPr>
        <w:tc>
          <w:tcPr>
            <w:tcW w:type="dxa" w:w="1514"/>
          </w:tcPr>
          <w:p>
            <w:r/>
            <w:r>
              <w:rPr>
                <w:rFonts w:ascii="Verdana" w:hAnsi="Verdana"/>
                <w:b w:val="0"/>
                <w:sz w:val="16"/>
              </w:rPr>
              <w:t>007032</w:t>
            </w:r>
          </w:p>
        </w:tc>
        <w:tc>
          <w:tcPr>
            <w:tcW w:type="dxa" w:w="1514"/>
          </w:tcPr>
          <w:p>
            <w:r/>
            <w:r>
              <w:rPr>
                <w:rFonts w:ascii="Verdana" w:hAnsi="Verdana"/>
                <w:b w:val="0"/>
                <w:sz w:val="16"/>
              </w:rPr>
              <w:t>Altura del sensor sobre el suelo local  (véase la nota 5)</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85: La altura del sensor sobre el suelo local (o el puente de una plataforma marina) es la altura real por encima del suelo (o el puente de la plataforma marina) en el punto donde se encuentra el sensor. Este descriptor no redefine los descriptores 0 07 030 ni 0 07 033. El valor definido previamente de 0 07 032 puede cancelarse asignando a 0 07 032 un “valor faltante”.</w:t>
            </w:r>
          </w:p>
        </w:tc>
      </w:tr>
      <w:tr>
        <w:trPr>
          <w:cantSplit/>
        </w:trPr>
        <w:tc>
          <w:tcPr>
            <w:tcW w:type="dxa" w:w="1514"/>
          </w:tcPr>
          <w:p>
            <w:r/>
            <w:r>
              <w:rPr>
                <w:rFonts w:ascii="Verdana" w:hAnsi="Verdana"/>
                <w:b w:val="0"/>
                <w:sz w:val="16"/>
              </w:rPr>
              <w:t>007033</w:t>
            </w:r>
          </w:p>
        </w:tc>
        <w:tc>
          <w:tcPr>
            <w:tcW w:type="dxa" w:w="1514"/>
          </w:tcPr>
          <w:p>
            <w:r/>
            <w:r>
              <w:rPr>
                <w:rFonts w:ascii="Verdana" w:hAnsi="Verdana"/>
                <w:b w:val="0"/>
                <w:sz w:val="16"/>
              </w:rPr>
              <w:t>Altura del sensor sobre la superficie del agua</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86: La altura del sensor sobre la superficie del agua es la altura del sensor sobre la superficie del agua del mar o de un lago. Este descriptor no redefine los descriptores 0 07 030 ni 0 07 032. El valor definido previamente de 0 07 033 puede cancelarse asignando a 0 07 033 un “valor faltante”.</w:t>
            </w:r>
          </w:p>
        </w:tc>
      </w:tr>
      <w:tr>
        <w:trPr>
          <w:cantSplit/>
        </w:trPr>
        <w:tc>
          <w:tcPr>
            <w:tcW w:type="dxa" w:w="1514"/>
          </w:tcPr>
          <w:p>
            <w:r/>
            <w:r>
              <w:rPr>
                <w:rFonts w:ascii="Verdana" w:hAnsi="Verdana"/>
                <w:b w:val="0"/>
                <w:sz w:val="16"/>
              </w:rPr>
              <w:t>007035</w:t>
            </w:r>
          </w:p>
        </w:tc>
        <w:tc>
          <w:tcPr>
            <w:tcW w:type="dxa" w:w="1514"/>
          </w:tcPr>
          <w:p>
            <w:r/>
            <w:r>
              <w:rPr>
                <w:rFonts w:ascii="Verdana" w:hAnsi="Verdana"/>
                <w:b w:val="0"/>
                <w:sz w:val="16"/>
              </w:rPr>
              <w:t>Tamaño máximo de la dimensión z</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007036</w:t>
            </w:r>
          </w:p>
        </w:tc>
        <w:tc>
          <w:tcPr>
            <w:tcW w:type="dxa" w:w="1514"/>
          </w:tcPr>
          <w:p>
            <w:r/>
            <w:r>
              <w:rPr>
                <w:rFonts w:ascii="Verdana" w:hAnsi="Verdana"/>
                <w:b w:val="0"/>
                <w:sz w:val="16"/>
              </w:rPr>
              <w:t>Índice del nivel de z</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007040</w:t>
            </w:r>
          </w:p>
        </w:tc>
        <w:tc>
          <w:tcPr>
            <w:tcW w:type="dxa" w:w="1514"/>
          </w:tcPr>
          <w:p>
            <w:r/>
            <w:r>
              <w:rPr>
                <w:rFonts w:ascii="Verdana" w:hAnsi="Verdana"/>
                <w:b w:val="0"/>
                <w:sz w:val="16"/>
              </w:rPr>
              <w:t>Parámetro de impacto</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62000000</w:t>
            </w:r>
          </w:p>
        </w:tc>
        <w:tc>
          <w:tcPr>
            <w:tcW w:type="dxa" w:w="1514"/>
          </w:tcPr>
          <w:p>
            <w:r/>
            <w:r>
              <w:rPr>
                <w:rFonts w:ascii="Verdana" w:hAnsi="Verdana"/>
                <w:b w:val="0"/>
                <w:sz w:val="16"/>
              </w:rPr>
              <w:t>22</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8</w:t>
            </w:r>
          </w:p>
        </w:tc>
        <w:tc>
          <w:tcPr>
            <w:tcW w:type="dxa" w:w="1514"/>
          </w:tcPr>
          <w:p>
            <w:r/>
            <w:r>
              <w:rPr>
                <w:rFonts w:ascii="Verdana" w:hAnsi="Verdana"/>
                <w:b w:val="0"/>
                <w:sz w:val="16"/>
              </w:rPr>
              <w:t>Note 74: Para representar la intensidad de la precipitación, el tipo de precipitación y el estado de funcionalidad, se utilizan, respectivamente los descriptores 0 20 024 (tabla de cifrado), 0 20 021 (tabla de banderines) y 0 33 005 (tabla de banderines).</w:t>
            </w:r>
          </w:p>
        </w:tc>
      </w:tr>
      <w:tr>
        <w:trPr>
          <w:cantSplit/>
        </w:trPr>
        <w:tc>
          <w:tcPr>
            <w:tcW w:type="dxa" w:w="1514"/>
          </w:tcPr>
          <w:p>
            <w:r/>
            <w:r>
              <w:rPr>
                <w:rFonts w:ascii="Verdana" w:hAnsi="Verdana"/>
                <w:b w:val="0"/>
                <w:sz w:val="16"/>
              </w:rPr>
              <w:t>007061</w:t>
            </w:r>
          </w:p>
        </w:tc>
        <w:tc>
          <w:tcPr>
            <w:tcW w:type="dxa" w:w="1514"/>
          </w:tcPr>
          <w:p>
            <w:r/>
            <w:r>
              <w:rPr>
                <w:rFonts w:ascii="Verdana" w:hAnsi="Verdana"/>
                <w:b w:val="0"/>
                <w:sz w:val="16"/>
              </w:rPr>
              <w:t>Profundidad por debajo de la superficie de la tierra</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007062</w:t>
            </w:r>
          </w:p>
        </w:tc>
        <w:tc>
          <w:tcPr>
            <w:tcW w:type="dxa" w:w="1514"/>
          </w:tcPr>
          <w:p>
            <w:r/>
            <w:r>
              <w:rPr>
                <w:rFonts w:ascii="Verdana" w:hAnsi="Verdana"/>
                <w:b w:val="0"/>
                <w:sz w:val="16"/>
              </w:rPr>
              <w:t>Profundidad por debajo de la superficie del mar/del agua</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007063</w:t>
            </w:r>
          </w:p>
        </w:tc>
        <w:tc>
          <w:tcPr>
            <w:tcW w:type="dxa" w:w="1514"/>
          </w:tcPr>
          <w:p>
            <w:r/>
            <w:r>
              <w:rPr>
                <w:rFonts w:ascii="Verdana" w:hAnsi="Verdana"/>
                <w:b w:val="0"/>
                <w:sz w:val="16"/>
              </w:rPr>
              <w:t>Profundidad bajo la superficie del mar/agua</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007064</w:t>
            </w:r>
          </w:p>
        </w:tc>
        <w:tc>
          <w:tcPr>
            <w:tcW w:type="dxa" w:w="1514"/>
          </w:tcPr>
          <w:p>
            <w:r/>
            <w:r>
              <w:rPr>
                <w:rFonts w:ascii="Verdana" w:hAnsi="Verdana"/>
                <w:b w:val="0"/>
                <w:sz w:val="16"/>
              </w:rPr>
              <w:t>Altura representativa del sensor por encima de la estación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117: La altura representativa del sensor por encima de la estación es la altura, estándar de un sensor requerida por la documentación de la OMM. El valor del elemento meteorológico siguiente debería ajustarse mediante una fórmula. Por ejemplo, la altura estándar recomendada en la documentación de la OMM para los sensores de viento en superficie es 10 metros. Si el sensor se sitúa a una altura diferente, la velocidad del viento puede ajustarse mediante una fórmula. I.2 – BUFR/CREX Tabla B/07 – 3</w:t>
            </w:r>
          </w:p>
        </w:tc>
      </w:tr>
      <w:tr>
        <w:trPr>
          <w:cantSplit/>
        </w:trPr>
        <w:tc>
          <w:tcPr>
            <w:tcW w:type="dxa" w:w="1514"/>
          </w:tcPr>
          <w:p>
            <w:r/>
            <w:r>
              <w:rPr>
                <w:rFonts w:ascii="Verdana" w:hAnsi="Verdana"/>
                <w:b w:val="0"/>
                <w:sz w:val="16"/>
              </w:rPr>
              <w:t>007065</w:t>
            </w:r>
          </w:p>
        </w:tc>
        <w:tc>
          <w:tcPr>
            <w:tcW w:type="dxa" w:w="1514"/>
          </w:tcPr>
          <w:p>
            <w:r/>
            <w:r>
              <w:rPr>
                <w:rFonts w:ascii="Verdana" w:hAnsi="Verdana"/>
                <w:b w:val="0"/>
                <w:sz w:val="16"/>
              </w:rPr>
              <w:t>Presión del agua</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007070</w:t>
            </w:r>
          </w:p>
        </w:tc>
        <w:tc>
          <w:tcPr>
            <w:tcW w:type="dxa" w:w="1514"/>
          </w:tcPr>
          <w:p>
            <w:r/>
            <w:r>
              <w:rPr>
                <w:rFonts w:ascii="Verdana" w:hAnsi="Verdana"/>
                <w:b w:val="0"/>
                <w:sz w:val="16"/>
              </w:rPr>
              <w:t>Profundidad del ancla flotante</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007071</w:t>
            </w:r>
          </w:p>
        </w:tc>
        <w:tc>
          <w:tcPr>
            <w:tcW w:type="dxa" w:w="1514"/>
          </w:tcPr>
          <w:p>
            <w:r/>
            <w:r>
              <w:rPr>
                <w:rFonts w:ascii="Verdana" w:hAnsi="Verdana"/>
                <w:b w:val="0"/>
                <w:sz w:val="16"/>
              </w:rPr>
              <w:t>Altura (alta resolución)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-10000000</w:t>
            </w:r>
          </w:p>
        </w:tc>
        <w:tc>
          <w:tcPr>
            <w:tcW w:type="dxa" w:w="1514"/>
          </w:tcPr>
          <w:p>
            <w:r/>
            <w:r>
              <w:rPr>
                <w:rFonts w:ascii="Verdana" w:hAnsi="Verdana"/>
                <w:b w:val="0"/>
                <w:sz w:val="16"/>
              </w:rPr>
              <w:t>26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007072</w:t>
            </w:r>
          </w:p>
        </w:tc>
        <w:tc>
          <w:tcPr>
            <w:tcW w:type="dxa" w:w="1514"/>
          </w:tcPr>
          <w:p>
            <w:r/>
            <w:r>
              <w:rPr>
                <w:rFonts w:ascii="Verdana" w:hAnsi="Verdana"/>
                <w:b w:val="0"/>
                <w:sz w:val="16"/>
              </w:rPr>
              <w:t>Ángulo de exploración</w:t>
            </w:r>
          </w:p>
        </w:tc>
        <w:tc>
          <w:tcPr>
            <w:tcW w:type="dxa" w:w="1514"/>
          </w:tcPr>
          <w:p>
            <w:r/>
            <w:r>
              <w:rPr>
                <w:rFonts w:ascii="Verdana" w:hAnsi="Verdana"/>
                <w:b w:val="0"/>
                <w:sz w:val="16"/>
              </w:rPr>
              <w:t>grado</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grados</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