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15: Componentes físicos/químicos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r/>
            <w:r>
              <w:rPr>
                <w:rFonts w:ascii="Verdana" w:hAnsi="Verdana"/>
                <w:b w:val="0"/>
                <w:sz w:val="16"/>
              </w:rPr>
              <w:t>FXY</w:t>
            </w:r>
          </w:p>
        </w:tc>
        <w:tc>
          <w:tcPr>
            <w:tcW w:type="dxa" w:w="1514"/>
            <w:shd w:val="clear" w:color="auto" w:fill="D9D9D9"/>
          </w:tcPr>
          <w:p>
            <w:r/>
            <w:r>
              <w:rPr>
                <w:rFonts w:ascii="Verdana" w:hAnsi="Verdana"/>
                <w:b w:val="0"/>
                <w:sz w:val="16"/>
              </w:rPr>
              <w:t>NOMBRE DEL ELEMENTO</w:t>
            </w:r>
          </w:p>
        </w:tc>
        <w:tc>
          <w:tcPr>
            <w:tcW w:type="dxa" w:w="1514"/>
            <w:shd w:val="clear" w:color="auto" w:fill="D9D9D9"/>
          </w:tcPr>
          <w:p>
            <w:r/>
            <w:r>
              <w:rPr>
                <w:rFonts w:ascii="Verdana" w:hAnsi="Verdana"/>
                <w:b w:val="0"/>
                <w:sz w:val="16"/>
              </w:rPr>
              <w:t>UNIDAD BUFR</w:t>
            </w:r>
          </w:p>
        </w:tc>
        <w:tc>
          <w:tcPr>
            <w:tcW w:type="dxa" w:w="1514"/>
            <w:shd w:val="clear" w:color="auto" w:fill="D9D9D9"/>
          </w:tcPr>
          <w:p>
            <w:r/>
            <w:r>
              <w:rPr>
                <w:rFonts w:ascii="Verdana" w:hAnsi="Verdana"/>
                <w:b w:val="0"/>
                <w:sz w:val="16"/>
              </w:rPr>
              <w:t>ESCALA</w:t>
            </w:r>
          </w:p>
        </w:tc>
        <w:tc>
          <w:tcPr>
            <w:tcW w:type="dxa" w:w="1514"/>
            <w:shd w:val="clear" w:color="auto" w:fill="D9D9D9"/>
          </w:tcPr>
          <w:p>
            <w:r/>
            <w:r>
              <w:rPr>
                <w:rFonts w:ascii="Verdana" w:hAnsi="Verdana"/>
                <w:b w:val="0"/>
                <w:sz w:val="16"/>
              </w:rPr>
              <w:t>VAL. REF.</w:t>
            </w:r>
          </w:p>
        </w:tc>
        <w:tc>
          <w:tcPr>
            <w:tcW w:type="dxa" w:w="1514"/>
            <w:shd w:val="clear" w:color="auto" w:fill="D9D9D9"/>
          </w:tcPr>
          <w:p>
            <w:r/>
            <w:r>
              <w:rPr>
                <w:rFonts w:ascii="Verdana" w:hAnsi="Verdana"/>
                <w:b w:val="0"/>
                <w:sz w:val="16"/>
              </w:rPr>
              <w:t>BITS</w:t>
            </w:r>
          </w:p>
        </w:tc>
        <w:tc>
          <w:tcPr>
            <w:tcW w:type="dxa" w:w="1514"/>
            <w:shd w:val="clear" w:color="auto" w:fill="D9D9D9"/>
          </w:tcPr>
          <w:p>
            <w:r/>
            <w:r>
              <w:rPr>
                <w:rFonts w:ascii="Verdana" w:hAnsi="Verdana"/>
                <w:b w:val="0"/>
                <w:sz w:val="16"/>
              </w:rPr>
              <w:t>UNIDAD CREX</w:t>
            </w:r>
          </w:p>
        </w:tc>
        <w:tc>
          <w:tcPr>
            <w:tcW w:type="dxa" w:w="1514"/>
            <w:shd w:val="clear" w:color="auto" w:fill="D9D9D9"/>
          </w:tcPr>
          <w:p>
            <w:r/>
            <w:r>
              <w:rPr>
                <w:rFonts w:ascii="Verdana" w:hAnsi="Verdana"/>
                <w:b w:val="0"/>
                <w:sz w:val="16"/>
              </w:rPr>
              <w:t>ESCALA</w:t>
            </w:r>
          </w:p>
        </w:tc>
        <w:tc>
          <w:tcPr>
            <w:tcW w:type="dxa" w:w="1514"/>
            <w:shd w:val="clear" w:color="auto" w:fill="D9D9D9"/>
          </w:tcPr>
          <w:p>
            <w:r/>
            <w:r>
              <w:rPr>
                <w:rFonts w:ascii="Verdana" w:hAnsi="Verdana"/>
                <w:b w:val="0"/>
                <w:sz w:val="16"/>
              </w:rPr>
              <w:t>CAR.</w:t>
            </w:r>
          </w:p>
        </w:tc>
        <w:tc>
          <w:tcPr>
            <w:tcW w:type="dxa" w:w="1514"/>
            <w:shd w:val="clear" w:color="auto" w:fill="D9D9D9"/>
          </w:tcPr>
          <w:p>
            <w:r/>
            <w:r>
              <w:rPr>
                <w:rFonts w:ascii="Verdana" w:hAnsi="Verdana"/>
                <w:b w:val="0"/>
                <w:sz w:val="16"/>
              </w:rPr>
              <w:t>NOTA</w:t>
            </w:r>
          </w:p>
        </w:tc>
      </w:tr>
      <w:tr>
        <w:trPr>
          <w:cantSplit/>
        </w:trPr>
        <w:tc>
          <w:tcPr>
            <w:tcW w:type="dxa" w:w="1514"/>
          </w:tcPr>
          <w:p>
            <w:r/>
            <w:r>
              <w:rPr>
                <w:rFonts w:ascii="Verdana" w:hAnsi="Verdana"/>
                <w:b w:val="0"/>
                <w:sz w:val="16"/>
              </w:rPr>
              <w:t>015001</w:t>
            </w:r>
          </w:p>
        </w:tc>
        <w:tc>
          <w:tcPr>
            <w:tcW w:type="dxa" w:w="1514"/>
          </w:tcPr>
          <w:p>
            <w:r/>
            <w:r>
              <w:rPr>
                <w:rFonts w:ascii="Verdana" w:hAnsi="Verdana"/>
                <w:b w:val="0"/>
                <w:sz w:val="16"/>
              </w:rPr>
              <w:t>Ozono total</w:t>
            </w:r>
          </w:p>
        </w:tc>
        <w:tc>
          <w:tcPr>
            <w:tcW w:type="dxa" w:w="1514"/>
          </w:tcPr>
          <w:p>
            <w:r/>
            <w:r>
              <w:rPr>
                <w:rFonts w:ascii="Verdana" w:hAnsi="Verdana"/>
                <w:b w:val="0"/>
                <w:sz w:val="16"/>
              </w:rPr>
              <w:t>DU</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DU</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015002</w:t>
            </w:r>
          </w:p>
        </w:tc>
        <w:tc>
          <w:tcPr>
            <w:tcW w:type="dxa" w:w="1514"/>
          </w:tcPr>
          <w:p>
            <w:r/>
            <w:r>
              <w:rPr>
                <w:rFonts w:ascii="Verdana" w:hAnsi="Verdana"/>
                <w:b w:val="0"/>
                <w:sz w:val="16"/>
              </w:rPr>
              <w:t>Masa de aire (correspondiente a una trayectoria oblicua a una altura de 22 km)</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015003</w:t>
            </w:r>
          </w:p>
        </w:tc>
        <w:tc>
          <w:tcPr>
            <w:tcW w:type="dxa" w:w="1514"/>
          </w:tcPr>
          <w:p>
            <w:r/>
            <w:r>
              <w:rPr>
                <w:rFonts w:ascii="Verdana" w:hAnsi="Verdana"/>
                <w:b w:val="0"/>
                <w:sz w:val="16"/>
              </w:rPr>
              <w:t>Presión parcial del ozono medido</w:t>
            </w:r>
          </w:p>
        </w:tc>
        <w:tc>
          <w:tcPr>
            <w:tcW w:type="dxa" w:w="1514"/>
          </w:tcPr>
          <w:p>
            <w:r/>
            <w:r>
              <w:rPr>
                <w:rFonts w:ascii="Verdana" w:hAnsi="Verdana"/>
                <w:b w:val="0"/>
                <w:sz w:val="16"/>
              </w:rPr>
              <w:t>Pa</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nbar</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1: El descriptor 3 04 035 se ha relegado.</w:t>
            </w:r>
          </w:p>
        </w:tc>
      </w:tr>
      <w:tr>
        <w:trPr>
          <w:cantSplit/>
        </w:trPr>
        <w:tc>
          <w:tcPr>
            <w:tcW w:type="dxa" w:w="1514"/>
          </w:tcPr>
          <w:p>
            <w:r/>
            <w:r>
              <w:rPr>
                <w:rFonts w:ascii="Verdana" w:hAnsi="Verdana"/>
                <w:b w:val="0"/>
                <w:sz w:val="16"/>
              </w:rPr>
              <w:t>015004</w:t>
            </w:r>
          </w:p>
        </w:tc>
        <w:tc>
          <w:tcPr>
            <w:tcW w:type="dxa" w:w="1514"/>
          </w:tcPr>
          <w:p>
            <w:r/>
            <w:r>
              <w:rPr>
                <w:rFonts w:ascii="Verdana" w:hAnsi="Verdana"/>
                <w:b w:val="0"/>
                <w:sz w:val="16"/>
              </w:rPr>
              <w:t>Factor de corrección de sondeo del ozono</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11</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t>Note 2: La secuencia 3 07 082 se ha relegado.</w:t>
            </w:r>
          </w:p>
        </w:tc>
      </w:tr>
      <w:tr>
        <w:trPr>
          <w:cantSplit/>
        </w:trPr>
        <w:tc>
          <w:tcPr>
            <w:tcW w:type="dxa" w:w="1514"/>
          </w:tcPr>
          <w:p>
            <w:r/>
            <w:r>
              <w:rPr>
                <w:rFonts w:ascii="Verdana" w:hAnsi="Verdana"/>
                <w:b w:val="0"/>
                <w:sz w:val="16"/>
              </w:rPr>
              <w:t>015005</w:t>
            </w:r>
          </w:p>
        </w:tc>
        <w:tc>
          <w:tcPr>
            <w:tcW w:type="dxa" w:w="1514"/>
          </w:tcPr>
          <w:p>
            <w:r/>
            <w:r>
              <w:rPr>
                <w:rFonts w:ascii="Verdana" w:hAnsi="Verdana"/>
                <w:b w:val="0"/>
                <w:sz w:val="16"/>
              </w:rPr>
              <w:t>p del ozono</w:t>
            </w:r>
          </w:p>
        </w:tc>
        <w:tc>
          <w:tcPr>
            <w:tcW w:type="dxa" w:w="1514"/>
          </w:tcPr>
          <w:p>
            <w:r/>
            <w:r>
              <w:rPr>
                <w:rFonts w:ascii="Verdana" w:hAnsi="Verdana"/>
                <w:b w:val="0"/>
                <w:sz w:val="16"/>
              </w:rPr>
              <w:t>DU</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DU</w:t>
            </w:r>
          </w:p>
        </w:tc>
        <w:tc>
          <w:tcPr>
            <w:tcW w:type="dxa" w:w="1514"/>
          </w:tcPr>
          <w:p>
            <w:r/>
            <w:r>
              <w:rPr>
                <w:rFonts w:ascii="Verdana" w:hAnsi="Verdana"/>
                <w:b w:val="0"/>
                <w:sz w:val="16"/>
              </w:rPr>
              <w:t>0</w:t>
            </w:r>
          </w:p>
        </w:tc>
        <w:tc>
          <w:tcPr>
            <w:tcW w:type="dxa" w:w="1514"/>
          </w:tcPr>
          <w:p>
            <w:r/>
            <w:r>
              <w:rPr>
                <w:rFonts w:ascii="Verdana" w:hAnsi="Verdana"/>
                <w:b w:val="0"/>
                <w:sz w:val="16"/>
              </w:rPr>
              <w:t>3</w:t>
            </w:r>
          </w:p>
        </w:tc>
        <w:tc>
          <w:tcPr>
            <w:tcW w:type="dxa" w:w="1514"/>
          </w:tcPr>
          <w:p>
            <w:r/>
            <w:r>
              <w:rPr>
                <w:rFonts w:ascii="Verdana" w:hAnsi="Verdana"/>
                <w:b w:val="0"/>
                <w:sz w:val="16"/>
              </w:rPr>
              <w:t>Note 3: El descriptor 3 10 027 ha dejado de usarse.</w:t>
            </w:r>
          </w:p>
        </w:tc>
      </w:tr>
      <w:tr>
        <w:trPr>
          <w:cantSplit/>
        </w:trPr>
        <w:tc>
          <w:tcPr>
            <w:tcW w:type="dxa" w:w="1514"/>
          </w:tcPr>
          <w:p>
            <w:r/>
            <w:r>
              <w:rPr>
                <w:rFonts w:ascii="Verdana" w:hAnsi="Verdana"/>
                <w:b w:val="0"/>
                <w:sz w:val="16"/>
              </w:rPr>
              <w:t>015006</w:t>
            </w:r>
          </w:p>
        </w:tc>
        <w:tc>
          <w:tcPr>
            <w:tcW w:type="dxa" w:w="1514"/>
          </w:tcPr>
          <w:p>
            <w:r/>
            <w:r>
              <w:rPr>
                <w:rFonts w:ascii="Verdana" w:hAnsi="Verdana"/>
                <w:b w:val="0"/>
                <w:sz w:val="16"/>
              </w:rPr>
              <w:t>Log10 de la densidad numérica de la atmósfera</w:t>
            </w:r>
          </w:p>
        </w:tc>
        <w:tc>
          <w:tcPr>
            <w:tcW w:type="dxa" w:w="1514"/>
          </w:tcPr>
          <w:p>
            <w:r/>
            <w:r>
              <w:rPr>
                <w:rFonts w:ascii="Verdana" w:hAnsi="Verdana"/>
                <w:b w:val="0"/>
                <w:sz w:val="16"/>
              </w:rPr>
              <w:t>log (m-³)</w:t>
            </w:r>
          </w:p>
        </w:tc>
        <w:tc>
          <w:tcPr>
            <w:tcW w:type="dxa" w:w="1514"/>
          </w:tcPr>
          <w:p>
            <w:r/>
            <w:r>
              <w:rPr>
                <w:rFonts w:ascii="Verdana" w:hAnsi="Verdana"/>
                <w:b w:val="0"/>
                <w:sz w:val="16"/>
              </w:rPr>
              <w:t>5</w:t>
            </w:r>
          </w:p>
        </w:tc>
        <w:tc>
          <w:tcPr>
            <w:tcW w:type="dxa" w:w="1514"/>
          </w:tcPr>
          <w:p>
            <w:r/>
            <w:r>
              <w:rPr>
                <w:rFonts w:ascii="Verdana" w:hAnsi="Verdana"/>
                <w:b w:val="0"/>
                <w:sz w:val="16"/>
              </w:rPr>
              <w:t>1800000</w:t>
            </w:r>
          </w:p>
        </w:tc>
        <w:tc>
          <w:tcPr>
            <w:tcW w:type="dxa" w:w="1514"/>
          </w:tcPr>
          <w:p>
            <w:r/>
            <w:r>
              <w:rPr>
                <w:rFonts w:ascii="Verdana" w:hAnsi="Verdana"/>
                <w:b w:val="0"/>
                <w:sz w:val="16"/>
              </w:rPr>
              <w:t>20</w:t>
            </w:r>
          </w:p>
        </w:tc>
        <w:tc>
          <w:tcPr>
            <w:tcW w:type="dxa" w:w="1514"/>
          </w:tcPr>
          <w:p>
            <w:r/>
            <w:r>
              <w:rPr>
                <w:rFonts w:ascii="Verdana" w:hAnsi="Verdana"/>
                <w:b w:val="0"/>
                <w:sz w:val="16"/>
              </w:rPr>
              <w:t>log (m-³)</w:t>
            </w:r>
          </w:p>
        </w:tc>
        <w:tc>
          <w:tcPr>
            <w:tcW w:type="dxa" w:w="1514"/>
          </w:tcPr>
          <w:p>
            <w:r/>
            <w:r>
              <w:rPr>
                <w:rFonts w:ascii="Verdana" w:hAnsi="Verdana"/>
                <w:b w:val="0"/>
                <w:sz w:val="16"/>
              </w:rPr>
              <w:t>5</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015008</w:t>
            </w:r>
          </w:p>
        </w:tc>
        <w:tc>
          <w:tcPr>
            <w:tcW w:type="dxa" w:w="1514"/>
          </w:tcPr>
          <w:p>
            <w:r/>
            <w:r>
              <w:rPr>
                <w:rFonts w:ascii="Verdana" w:hAnsi="Verdana"/>
                <w:b w:val="0"/>
                <w:sz w:val="16"/>
              </w:rPr>
              <w:t>Significando del cociente de mezclado volumétrico</w:t>
            </w:r>
          </w:p>
        </w:tc>
        <w:tc>
          <w:tcPr>
            <w:tcW w:type="dxa" w:w="1514"/>
          </w:tcPr>
          <w:p>
            <w:r/>
            <w:r>
              <w:rPr>
                <w:rFonts w:ascii="Verdana" w:hAnsi="Verdana"/>
                <w:b w:val="0"/>
                <w:sz w:val="16"/>
              </w:rPr>
              <w:t>Numérica</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Numérica</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015009</w:t>
            </w:r>
          </w:p>
        </w:tc>
        <w:tc>
          <w:tcPr>
            <w:tcW w:type="dxa" w:w="1514"/>
          </w:tcPr>
          <w:p>
            <w:r/>
            <w:r>
              <w:rPr>
                <w:rFonts w:ascii="Verdana" w:hAnsi="Verdana"/>
                <w:b w:val="0"/>
                <w:sz w:val="16"/>
              </w:rPr>
              <w:t>Log10 de la densidad numérica de ozono</w:t>
            </w:r>
          </w:p>
        </w:tc>
        <w:tc>
          <w:tcPr>
            <w:tcW w:type="dxa" w:w="1514"/>
          </w:tcPr>
          <w:p>
            <w:r/>
            <w:r>
              <w:rPr>
                <w:rFonts w:ascii="Verdana" w:hAnsi="Verdana"/>
                <w:b w:val="0"/>
                <w:sz w:val="16"/>
              </w:rPr>
              <w:t>log (m-3)</w:t>
            </w:r>
          </w:p>
        </w:tc>
        <w:tc>
          <w:tcPr>
            <w:tcW w:type="dxa" w:w="1514"/>
          </w:tcPr>
          <w:p>
            <w:r/>
            <w:r>
              <w:rPr>
                <w:rFonts w:ascii="Verdana" w:hAnsi="Verdana"/>
                <w:b w:val="0"/>
                <w:sz w:val="16"/>
              </w:rPr>
              <w:t>5</w:t>
            </w:r>
          </w:p>
        </w:tc>
        <w:tc>
          <w:tcPr>
            <w:tcW w:type="dxa" w:w="1514"/>
          </w:tcPr>
          <w:p>
            <w:r/>
            <w:r>
              <w:rPr>
                <w:rFonts w:ascii="Verdana" w:hAnsi="Verdana"/>
                <w:b w:val="0"/>
                <w:sz w:val="16"/>
              </w:rPr>
              <w:t>1200000</w:t>
            </w:r>
          </w:p>
        </w:tc>
        <w:tc>
          <w:tcPr>
            <w:tcW w:type="dxa" w:w="1514"/>
          </w:tcPr>
          <w:p>
            <w:r/>
            <w:r>
              <w:rPr>
                <w:rFonts w:ascii="Verdana" w:hAnsi="Verdana"/>
                <w:b w:val="0"/>
                <w:sz w:val="16"/>
              </w:rPr>
              <w:t>20</w:t>
            </w:r>
          </w:p>
        </w:tc>
        <w:tc>
          <w:tcPr>
            <w:tcW w:type="dxa" w:w="1514"/>
          </w:tcPr>
          <w:p>
            <w:r/>
            <w:r>
              <w:rPr>
                <w:rFonts w:ascii="Verdana" w:hAnsi="Verdana"/>
                <w:b w:val="0"/>
                <w:sz w:val="16"/>
              </w:rPr>
              <w:t>log (m-3)</w:t>
            </w:r>
          </w:p>
        </w:tc>
        <w:tc>
          <w:tcPr>
            <w:tcW w:type="dxa" w:w="1514"/>
          </w:tcPr>
          <w:p>
            <w:r/>
            <w:r>
              <w:rPr>
                <w:rFonts w:ascii="Verdana" w:hAnsi="Verdana"/>
                <w:b w:val="0"/>
                <w:sz w:val="16"/>
              </w:rPr>
              <w:t>5</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015011</w:t>
            </w:r>
          </w:p>
        </w:tc>
        <w:tc>
          <w:tcPr>
            <w:tcW w:type="dxa" w:w="1514"/>
          </w:tcPr>
          <w:p>
            <w:r/>
            <w:r>
              <w:rPr>
                <w:rFonts w:ascii="Verdana" w:hAnsi="Verdana"/>
                <w:b w:val="0"/>
                <w:sz w:val="16"/>
              </w:rPr>
              <w:t>Logaritmo10 de la densidad de electrones integrada</w:t>
            </w:r>
          </w:p>
        </w:tc>
        <w:tc>
          <w:tcPr>
            <w:tcW w:type="dxa" w:w="1514"/>
          </w:tcPr>
          <w:p>
            <w:r/>
            <w:r>
              <w:rPr>
                <w:rFonts w:ascii="Verdana" w:hAnsi="Verdana"/>
                <w:b w:val="0"/>
                <w:sz w:val="16"/>
              </w:rPr>
              <w:t>log (m-2)</w:t>
            </w:r>
          </w:p>
        </w:tc>
        <w:tc>
          <w:tcPr>
            <w:tcW w:type="dxa" w:w="1514"/>
          </w:tcPr>
          <w:p>
            <w:r/>
            <w:r>
              <w:rPr>
                <w:rFonts w:ascii="Verdana" w:hAnsi="Verdana"/>
                <w:b w:val="0"/>
                <w:sz w:val="16"/>
              </w:rPr>
              <w:t>3</w:t>
            </w:r>
          </w:p>
        </w:tc>
        <w:tc>
          <w:tcPr>
            <w:tcW w:type="dxa" w:w="1514"/>
          </w:tcPr>
          <w:p>
            <w:r/>
            <w:r>
              <w:rPr>
                <w:rFonts w:ascii="Verdana" w:hAnsi="Verdana"/>
                <w:b w:val="0"/>
                <w:sz w:val="16"/>
              </w:rPr>
              <w:t>14000</w:t>
            </w:r>
          </w:p>
        </w:tc>
        <w:tc>
          <w:tcPr>
            <w:tcW w:type="dxa" w:w="1514"/>
          </w:tcPr>
          <w:p>
            <w:r/>
            <w:r>
              <w:rPr>
                <w:rFonts w:ascii="Verdana" w:hAnsi="Verdana"/>
                <w:b w:val="0"/>
                <w:sz w:val="16"/>
              </w:rPr>
              <w:t>13</w:t>
            </w:r>
          </w:p>
        </w:tc>
        <w:tc>
          <w:tcPr>
            <w:tcW w:type="dxa" w:w="1514"/>
          </w:tcPr>
          <w:p>
            <w:r/>
            <w:r>
              <w:rPr>
                <w:rFonts w:ascii="Verdana" w:hAnsi="Verdana"/>
                <w:b w:val="0"/>
                <w:sz w:val="16"/>
              </w:rPr>
              <w:t>log (m-2)</w:t>
            </w:r>
          </w:p>
        </w:tc>
        <w:tc>
          <w:tcPr>
            <w:tcW w:type="dxa" w:w="1514"/>
          </w:tcPr>
          <w:p>
            <w:r/>
            <w:r>
              <w:rPr>
                <w:rFonts w:ascii="Verdana" w:hAnsi="Verdana"/>
                <w:b w:val="0"/>
                <w:sz w:val="16"/>
              </w:rPr>
              <w:t>3</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015012</w:t>
            </w:r>
          </w:p>
        </w:tc>
        <w:tc>
          <w:tcPr>
            <w:tcW w:type="dxa" w:w="1514"/>
          </w:tcPr>
          <w:p>
            <w:r/>
            <w:r>
              <w:rPr>
                <w:rFonts w:ascii="Verdana" w:hAnsi="Verdana"/>
                <w:b w:val="0"/>
                <w:sz w:val="16"/>
              </w:rPr>
              <w:t>Recuento total de electrones por m²</w:t>
            </w:r>
          </w:p>
        </w:tc>
        <w:tc>
          <w:tcPr>
            <w:tcW w:type="dxa" w:w="1514"/>
          </w:tcPr>
          <w:p>
            <w:r/>
            <w:r>
              <w:rPr>
                <w:rFonts w:ascii="Verdana" w:hAnsi="Verdana"/>
                <w:b w:val="0"/>
                <w:sz w:val="16"/>
              </w:rPr>
              <w:t>m²</w:t>
            </w:r>
          </w:p>
        </w:tc>
        <w:tc>
          <w:tcPr>
            <w:tcW w:type="dxa" w:w="1514"/>
          </w:tcPr>
          <w:p>
            <w:r/>
            <w:r>
              <w:rPr>
                <w:rFonts w:ascii="Verdana" w:hAnsi="Verdana"/>
                <w:b w:val="0"/>
                <w:sz w:val="16"/>
              </w:rPr>
              <w:t>-16</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t>m²</w:t>
            </w:r>
          </w:p>
        </w:tc>
        <w:tc>
          <w:tcPr>
            <w:tcW w:type="dxa" w:w="1514"/>
          </w:tcPr>
          <w:p>
            <w:r/>
            <w:r>
              <w:rPr>
                <w:rFonts w:ascii="Verdana" w:hAnsi="Verdana"/>
                <w:b w:val="0"/>
                <w:sz w:val="16"/>
              </w:rPr>
              <w:t>-16</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015015</w:t>
            </w:r>
          </w:p>
        </w:tc>
        <w:tc>
          <w:tcPr>
            <w:tcW w:type="dxa" w:w="1514"/>
          </w:tcPr>
          <w:p>
            <w:r/>
            <w:r>
              <w:rPr>
                <w:rFonts w:ascii="Verdana" w:hAnsi="Verdana"/>
                <w:b w:val="0"/>
                <w:sz w:val="16"/>
              </w:rPr>
              <w:t>Componente espectral máximo de la imagen antes de la normalización</w:t>
            </w:r>
          </w:p>
        </w:tc>
        <w:tc>
          <w:tcPr>
            <w:tcW w:type="dxa" w:w="1514"/>
          </w:tcPr>
          <w:p>
            <w:r/>
            <w:r>
              <w:rPr>
                <w:rFonts w:ascii="Verdana" w:hAnsi="Verdana"/>
                <w:b w:val="0"/>
                <w:sz w:val="16"/>
              </w:rPr>
              <w:t>Numérica</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t>Numérica</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015020</w:t>
            </w:r>
          </w:p>
        </w:tc>
        <w:tc>
          <w:tcPr>
            <w:tcW w:type="dxa" w:w="1514"/>
          </w:tcPr>
          <w:p>
            <w:r/>
            <w:r>
              <w:rPr>
                <w:rFonts w:ascii="Verdana" w:hAnsi="Verdana"/>
                <w:b w:val="0"/>
                <w:sz w:val="16"/>
              </w:rPr>
              <w:t>Densidad del ozono integrada</w:t>
            </w:r>
          </w:p>
        </w:tc>
        <w:tc>
          <w:tcPr>
            <w:tcW w:type="dxa" w:w="1514"/>
          </w:tcPr>
          <w:p>
            <w:r/>
            <w:r>
              <w:rPr>
                <w:rFonts w:ascii="Verdana" w:hAnsi="Verdana"/>
                <w:b w:val="0"/>
                <w:sz w:val="16"/>
              </w:rPr>
              <w:t>kg m-2</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21</w:t>
            </w:r>
          </w:p>
        </w:tc>
        <w:tc>
          <w:tcPr>
            <w:tcW w:type="dxa" w:w="1514"/>
          </w:tcPr>
          <w:p>
            <w:r/>
            <w:r>
              <w:rPr>
                <w:rFonts w:ascii="Verdana" w:hAnsi="Verdana"/>
                <w:b w:val="0"/>
                <w:sz w:val="16"/>
              </w:rPr>
              <w:t>kg m-2</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015021</w:t>
            </w:r>
          </w:p>
        </w:tc>
        <w:tc>
          <w:tcPr>
            <w:tcW w:type="dxa" w:w="1514"/>
          </w:tcPr>
          <w:p>
            <w:r/>
            <w:r>
              <w:rPr>
                <w:rFonts w:ascii="Verdana" w:hAnsi="Verdana"/>
                <w:b w:val="0"/>
                <w:sz w:val="16"/>
              </w:rPr>
              <w:t>Densidad de masa integrada</w:t>
            </w:r>
          </w:p>
        </w:tc>
        <w:tc>
          <w:tcPr>
            <w:tcW w:type="dxa" w:w="1514"/>
          </w:tcPr>
          <w:p>
            <w:r/>
            <w:r>
              <w:rPr>
                <w:rFonts w:ascii="Verdana" w:hAnsi="Verdana"/>
                <w:b w:val="0"/>
                <w:sz w:val="16"/>
              </w:rPr>
              <w:t>kg m-2</w:t>
            </w:r>
          </w:p>
        </w:tc>
        <w:tc>
          <w:tcPr>
            <w:tcW w:type="dxa" w:w="1514"/>
          </w:tcPr>
          <w:p>
            <w:r/>
            <w:r>
              <w:rPr>
                <w:rFonts w:ascii="Verdana" w:hAnsi="Verdana"/>
                <w:b w:val="0"/>
                <w:sz w:val="16"/>
              </w:rPr>
              <w:t>11</w:t>
            </w:r>
          </w:p>
        </w:tc>
        <w:tc>
          <w:tcPr>
            <w:tcW w:type="dxa" w:w="1514"/>
          </w:tcPr>
          <w:p>
            <w:r/>
            <w:r>
              <w:rPr>
                <w:rFonts w:ascii="Verdana" w:hAnsi="Verdana"/>
                <w:b w:val="0"/>
                <w:sz w:val="16"/>
              </w:rPr>
              <w:t>0</w:t>
            </w:r>
          </w:p>
        </w:tc>
        <w:tc>
          <w:tcPr>
            <w:tcW w:type="dxa" w:w="1514"/>
          </w:tcPr>
          <w:p>
            <w:r/>
            <w:r>
              <w:rPr>
                <w:rFonts w:ascii="Verdana" w:hAnsi="Verdana"/>
                <w:b w:val="0"/>
                <w:sz w:val="16"/>
              </w:rPr>
              <w:t>31</w:t>
            </w:r>
          </w:p>
        </w:tc>
        <w:tc>
          <w:tcPr>
            <w:tcW w:type="dxa" w:w="1514"/>
          </w:tcPr>
          <w:p>
            <w:r/>
            <w:r>
              <w:rPr>
                <w:rFonts w:ascii="Verdana" w:hAnsi="Verdana"/>
                <w:b w:val="0"/>
                <w:sz w:val="16"/>
              </w:rPr>
              <w:t>kg m-2</w:t>
            </w:r>
          </w:p>
        </w:tc>
        <w:tc>
          <w:tcPr>
            <w:tcW w:type="dxa" w:w="1514"/>
          </w:tcPr>
          <w:p>
            <w:r/>
            <w:r>
              <w:rPr>
                <w:rFonts w:ascii="Verdana" w:hAnsi="Verdana"/>
                <w:b w:val="0"/>
                <w:sz w:val="16"/>
              </w:rPr>
              <w:t>11</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015024</w:t>
            </w:r>
          </w:p>
        </w:tc>
        <w:tc>
          <w:tcPr>
            <w:tcW w:type="dxa" w:w="1514"/>
          </w:tcPr>
          <w:p>
            <w:r/>
            <w:r>
              <w:rPr>
                <w:rFonts w:ascii="Verdana" w:hAnsi="Verdana"/>
                <w:b w:val="0"/>
                <w:sz w:val="16"/>
              </w:rPr>
              <w:t>Espesor óptico</w:t>
            </w:r>
          </w:p>
        </w:tc>
        <w:tc>
          <w:tcPr>
            <w:tcW w:type="dxa" w:w="1514"/>
          </w:tcPr>
          <w:p>
            <w:r/>
            <w:r>
              <w:rPr>
                <w:rFonts w:ascii="Verdana" w:hAnsi="Verdana"/>
                <w:b w:val="0"/>
                <w:sz w:val="16"/>
              </w:rPr>
              <w:t>Numérica</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24</w:t>
            </w:r>
          </w:p>
        </w:tc>
        <w:tc>
          <w:tcPr>
            <w:tcW w:type="dxa" w:w="1514"/>
          </w:tcPr>
          <w:p>
            <w:r/>
            <w:r>
              <w:rPr>
                <w:rFonts w:ascii="Verdana" w:hAnsi="Verdana"/>
                <w:b w:val="0"/>
                <w:sz w:val="16"/>
              </w:rPr>
              <w:t>Numérica</w:t>
            </w:r>
          </w:p>
        </w:tc>
        <w:tc>
          <w:tcPr>
            <w:tcW w:type="dxa" w:w="1514"/>
          </w:tcPr>
          <w:p>
            <w:r/>
            <w:r>
              <w:rPr>
                <w:rFonts w:ascii="Verdana" w:hAnsi="Verdana"/>
                <w:b w:val="0"/>
                <w:sz w:val="16"/>
              </w:rPr>
              <w:t>4</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015025</w:t>
            </w:r>
          </w:p>
        </w:tc>
        <w:tc>
          <w:tcPr>
            <w:tcW w:type="dxa" w:w="1514"/>
          </w:tcPr>
          <w:p>
            <w:r/>
            <w:r>
              <w:rPr>
                <w:rFonts w:ascii="Verdana" w:hAnsi="Verdana"/>
                <w:b w:val="0"/>
                <w:sz w:val="16"/>
              </w:rPr>
              <w:t>Tipo de contamite</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4</w:t>
            </w:r>
          </w:p>
        </w:tc>
        <w:tc>
          <w:tcPr>
            <w:tcW w:type="dxa" w:w="1514"/>
          </w:tcPr>
          <w:p>
            <w:r/>
            <w:r>
              <w:rPr>
                <w:rFonts w:ascii="Verdana" w:hAnsi="Verdana"/>
                <w:b w:val="0"/>
                <w:sz w:val="16"/>
              </w:rPr>
              <w:t>Tabla de cifrado</w:t>
            </w:r>
          </w:p>
        </w:tc>
        <w:tc>
          <w:tcPr>
            <w:tcW w:type="dxa" w:w="1514"/>
          </w:tcPr>
          <w:p>
            <w:r/>
            <w:r>
              <w:rPr>
                <w:rFonts w:ascii="Verdana" w:hAnsi="Verdana"/>
                <w:b w:val="0"/>
                <w:sz w:val="16"/>
              </w:rPr>
              <w:t>0</w:t>
            </w:r>
          </w:p>
        </w:tc>
        <w:tc>
          <w:tcPr>
            <w:tcW w:type="dxa" w:w="1514"/>
          </w:tcPr>
          <w:p>
            <w:r/>
            <w:r>
              <w:rPr>
                <w:rFonts w:ascii="Verdana" w:hAnsi="Verdana"/>
                <w:b w:val="0"/>
                <w:sz w:val="16"/>
              </w:rPr>
              <w:t>2</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015026</w:t>
            </w:r>
          </w:p>
        </w:tc>
        <w:tc>
          <w:tcPr>
            <w:tcW w:type="dxa" w:w="1514"/>
          </w:tcPr>
          <w:p>
            <w:r/>
            <w:r>
              <w:rPr>
                <w:rFonts w:ascii="Verdana" w:hAnsi="Verdana"/>
                <w:b w:val="0"/>
                <w:sz w:val="16"/>
              </w:rPr>
              <w:t>Concentración del contamite (mol mol-1)</w:t>
            </w:r>
          </w:p>
        </w:tc>
        <w:tc>
          <w:tcPr>
            <w:tcW w:type="dxa" w:w="1514"/>
          </w:tcPr>
          <w:p>
            <w:r/>
            <w:r>
              <w:rPr>
                <w:rFonts w:ascii="Verdana" w:hAnsi="Verdana"/>
                <w:b w:val="0"/>
                <w:sz w:val="16"/>
              </w:rPr>
              <w:t>mol mol-1</w:t>
            </w:r>
          </w:p>
        </w:tc>
        <w:tc>
          <w:tcPr>
            <w:tcW w:type="dxa" w:w="1514"/>
          </w:tcPr>
          <w:p>
            <w:r/>
            <w:r>
              <w:rPr>
                <w:rFonts w:ascii="Verdana" w:hAnsi="Verdana"/>
                <w:b w:val="0"/>
                <w:sz w:val="16"/>
              </w:rPr>
              <w:t>9</w:t>
            </w:r>
          </w:p>
        </w:tc>
        <w:tc>
          <w:tcPr>
            <w:tcW w:type="dxa" w:w="1514"/>
          </w:tcPr>
          <w:p>
            <w:r/>
            <w:r>
              <w:rPr>
                <w:rFonts w:ascii="Verdana" w:hAnsi="Verdana"/>
                <w:b w:val="0"/>
                <w:sz w:val="16"/>
              </w:rPr>
              <w:t>0</w:t>
            </w:r>
          </w:p>
        </w:tc>
        <w:tc>
          <w:tcPr>
            <w:tcW w:type="dxa" w:w="1514"/>
          </w:tcPr>
          <w:p>
            <w:r/>
            <w:r>
              <w:rPr>
                <w:rFonts w:ascii="Verdana" w:hAnsi="Verdana"/>
                <w:b w:val="0"/>
                <w:sz w:val="16"/>
              </w:rPr>
              <w:t>9</w:t>
            </w:r>
          </w:p>
        </w:tc>
        <w:tc>
          <w:tcPr>
            <w:tcW w:type="dxa" w:w="1514"/>
          </w:tcPr>
          <w:p>
            <w:r/>
            <w:r>
              <w:rPr>
                <w:rFonts w:ascii="Verdana" w:hAnsi="Verdana"/>
                <w:b w:val="0"/>
                <w:sz w:val="16"/>
              </w:rPr>
              <w:t>mol mol-1</w:t>
            </w:r>
          </w:p>
        </w:tc>
        <w:tc>
          <w:tcPr>
            <w:tcW w:type="dxa" w:w="1514"/>
          </w:tcPr>
          <w:p>
            <w:r/>
            <w:r>
              <w:rPr>
                <w:rFonts w:ascii="Verdana" w:hAnsi="Verdana"/>
                <w:b w:val="0"/>
                <w:sz w:val="16"/>
              </w:rPr>
              <w:t>9</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015027</w:t>
            </w:r>
          </w:p>
        </w:tc>
        <w:tc>
          <w:tcPr>
            <w:tcW w:type="dxa" w:w="1514"/>
          </w:tcPr>
          <w:p>
            <w:r/>
            <w:r>
              <w:rPr>
                <w:rFonts w:ascii="Verdana" w:hAnsi="Verdana"/>
                <w:b w:val="0"/>
                <w:sz w:val="16"/>
              </w:rPr>
              <w:t>Concentración del contamite (Kg m-3)</w:t>
            </w:r>
          </w:p>
        </w:tc>
        <w:tc>
          <w:tcPr>
            <w:tcW w:type="dxa" w:w="1514"/>
          </w:tcPr>
          <w:p>
            <w:r/>
            <w:r>
              <w:rPr>
                <w:rFonts w:ascii="Verdana" w:hAnsi="Verdana"/>
                <w:b w:val="0"/>
                <w:sz w:val="16"/>
              </w:rPr>
              <w:t>kg m-3</w:t>
            </w:r>
          </w:p>
        </w:tc>
        <w:tc>
          <w:tcPr>
            <w:tcW w:type="dxa" w:w="1514"/>
          </w:tcPr>
          <w:p>
            <w:r/>
            <w:r>
              <w:rPr>
                <w:rFonts w:ascii="Verdana" w:hAnsi="Verdana"/>
                <w:b w:val="0"/>
                <w:sz w:val="16"/>
              </w:rPr>
              <w:t>9</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kg m-3</w:t>
            </w:r>
          </w:p>
        </w:tc>
        <w:tc>
          <w:tcPr>
            <w:tcW w:type="dxa" w:w="1514"/>
          </w:tcPr>
          <w:p>
            <w:r/>
            <w:r>
              <w:rPr>
                <w:rFonts w:ascii="Verdana" w:hAnsi="Verdana"/>
                <w:b w:val="0"/>
                <w:sz w:val="16"/>
              </w:rPr>
              <w:t>9</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015028</w:t>
            </w:r>
          </w:p>
        </w:tc>
        <w:tc>
          <w:tcPr>
            <w:tcW w:type="dxa" w:w="1514"/>
          </w:tcPr>
          <w:p>
            <w:r/>
            <w:r>
              <w:rPr>
                <w:rFonts w:ascii="Verdana" w:hAnsi="Verdana"/>
                <w:b w:val="0"/>
                <w:sz w:val="16"/>
              </w:rPr>
              <w:t>Fracción molar del componente/contamite atmosférico en el aire seco</w:t>
            </w:r>
          </w:p>
        </w:tc>
        <w:tc>
          <w:tcPr>
            <w:tcW w:type="dxa" w:w="1514"/>
          </w:tcPr>
          <w:p>
            <w:r/>
            <w:r>
              <w:rPr>
                <w:rFonts w:ascii="Verdana" w:hAnsi="Verdana"/>
                <w:b w:val="0"/>
                <w:sz w:val="16"/>
              </w:rPr>
              <w:t>%%</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015029</w:t>
            </w:r>
          </w:p>
        </w:tc>
        <w:tc>
          <w:tcPr>
            <w:tcW w:type="dxa" w:w="1514"/>
          </w:tcPr>
          <w:p>
            <w:r/>
            <w:r>
              <w:rPr>
                <w:rFonts w:ascii="Verdana" w:hAnsi="Verdana"/>
                <w:b w:val="0"/>
                <w:sz w:val="16"/>
              </w:rPr>
              <w:t>Coeficiente de extinción</w:t>
            </w:r>
          </w:p>
        </w:tc>
        <w:tc>
          <w:tcPr>
            <w:tcW w:type="dxa" w:w="1514"/>
          </w:tcPr>
          <w:p>
            <w:r/>
            <w:r>
              <w:rPr>
                <w:rFonts w:ascii="Verdana" w:hAnsi="Verdana"/>
                <w:b w:val="0"/>
                <w:sz w:val="16"/>
              </w:rPr>
              <w:t>m-1</w:t>
            </w:r>
          </w:p>
        </w:tc>
        <w:tc>
          <w:tcPr>
            <w:tcW w:type="dxa" w:w="1514"/>
          </w:tcPr>
          <w:p>
            <w:r/>
            <w:r>
              <w:rPr>
                <w:rFonts w:ascii="Verdana" w:hAnsi="Verdana"/>
                <w:b w:val="0"/>
                <w:sz w:val="16"/>
              </w:rPr>
              <w:t>9</w:t>
            </w:r>
          </w:p>
        </w:tc>
        <w:tc>
          <w:tcPr>
            <w:tcW w:type="dxa" w:w="1514"/>
          </w:tcPr>
          <w:p>
            <w:r/>
            <w:r>
              <w:rPr>
                <w:rFonts w:ascii="Verdana" w:hAnsi="Verdana"/>
                <w:b w:val="0"/>
                <w:sz w:val="16"/>
              </w:rPr>
              <w:t>0</w:t>
            </w:r>
          </w:p>
        </w:tc>
        <w:tc>
          <w:tcPr>
            <w:tcW w:type="dxa" w:w="1514"/>
          </w:tcPr>
          <w:p>
            <w:r/>
            <w:r>
              <w:rPr>
                <w:rFonts w:ascii="Verdana" w:hAnsi="Verdana"/>
                <w:b w:val="0"/>
                <w:sz w:val="16"/>
              </w:rPr>
              <w:t>30</w:t>
            </w:r>
          </w:p>
        </w:tc>
        <w:tc>
          <w:tcPr>
            <w:tcW w:type="dxa" w:w="1514"/>
          </w:tcPr>
          <w:p>
            <w:r/>
            <w:r>
              <w:rPr>
                <w:rFonts w:ascii="Verdana" w:hAnsi="Verdana"/>
                <w:b w:val="0"/>
                <w:sz w:val="16"/>
              </w:rPr>
              <w:t>m-1</w:t>
            </w:r>
          </w:p>
        </w:tc>
        <w:tc>
          <w:tcPr>
            <w:tcW w:type="dxa" w:w="1514"/>
          </w:tcPr>
          <w:p>
            <w:r/>
            <w:r>
              <w:rPr>
                <w:rFonts w:ascii="Verdana" w:hAnsi="Verdana"/>
                <w:b w:val="0"/>
                <w:sz w:val="16"/>
              </w:rPr>
              <w:t>9</w:t>
            </w:r>
          </w:p>
        </w:tc>
        <w:tc>
          <w:tcPr>
            <w:tcW w:type="dxa" w:w="1514"/>
          </w:tcPr>
          <w:p>
            <w:r/>
            <w:r>
              <w:rPr>
                <w:rFonts w:ascii="Verdana" w:hAnsi="Verdana"/>
                <w:b w:val="0"/>
                <w:sz w:val="16"/>
              </w:rPr>
              <w:t>10</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015030</w:t>
            </w:r>
          </w:p>
        </w:tc>
        <w:tc>
          <w:tcPr>
            <w:tcW w:type="dxa" w:w="1514"/>
          </w:tcPr>
          <w:p>
            <w:r/>
            <w:r>
              <w:rPr>
                <w:rFonts w:ascii="Verdana" w:hAnsi="Verdana"/>
                <w:b w:val="0"/>
                <w:sz w:val="16"/>
              </w:rPr>
              <w:t>Índice de contaminación por aerosoles</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-1000</w:t>
            </w:r>
          </w:p>
        </w:tc>
        <w:tc>
          <w:tcPr>
            <w:tcW w:type="dxa" w:w="1514"/>
          </w:tcPr>
          <w:p>
            <w:r/>
            <w:r>
              <w:rPr>
                <w:rFonts w:ascii="Verdana" w:hAnsi="Verdana"/>
                <w:b w:val="0"/>
                <w:sz w:val="16"/>
              </w:rPr>
              <w:t>12</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79: Para este descriptor, los valores inferiores a –1 indican predominancia de aerosoles dispersantes, cuya concentración aumenta a medida que el valor aumenta negativamente. Valores superiores a +1 indican predominancia de aerosoles absorbentes, cuya concentración aumenta a medida que el valor aumenta positivamente. Los valores comprendidos entre –1 y +1 indican nubes o ruido.</w:t>
            </w:r>
          </w:p>
        </w:tc>
      </w:tr>
      <w:tr>
        <w:trPr>
          <w:cantSplit/>
        </w:trPr>
        <w:tc>
          <w:tcPr>
            <w:tcW w:type="dxa" w:w="1514"/>
          </w:tcPr>
          <w:p>
            <w:r/>
            <w:r>
              <w:rPr>
                <w:rFonts w:ascii="Verdana" w:hAnsi="Verdana"/>
                <w:b w:val="0"/>
                <w:sz w:val="16"/>
              </w:rPr>
              <w:t>015031</w:t>
            </w:r>
          </w:p>
        </w:tc>
        <w:tc>
          <w:tcPr>
            <w:tcW w:type="dxa" w:w="1514"/>
          </w:tcPr>
          <w:p>
            <w:r/>
            <w:r>
              <w:rPr>
                <w:rFonts w:ascii="Verdana" w:hAnsi="Verdana"/>
                <w:b w:val="0"/>
                <w:sz w:val="16"/>
              </w:rPr>
              <w:t>Retraso del trayecto atmosférico en la señal del satélite</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10000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015032</w:t>
            </w:r>
          </w:p>
        </w:tc>
        <w:tc>
          <w:tcPr>
            <w:tcW w:type="dxa" w:w="1514"/>
          </w:tcPr>
          <w:p>
            <w:r/>
            <w:r>
              <w:rPr>
                <w:rFonts w:ascii="Verdana" w:hAnsi="Verdana"/>
                <w:b w:val="0"/>
                <w:sz w:val="16"/>
              </w:rPr>
              <w:t>Error estimado en un retraso de trayecto atmosférico</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10</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015033</w:t>
            </w:r>
          </w:p>
        </w:tc>
        <w:tc>
          <w:tcPr>
            <w:tcW w:type="dxa" w:w="1514"/>
          </w:tcPr>
          <w:p>
            <w:r/>
            <w:r>
              <w:rPr>
                <w:rFonts w:ascii="Verdana" w:hAnsi="Verdana"/>
                <w:b w:val="0"/>
                <w:sz w:val="16"/>
              </w:rPr>
              <w:t>Diferencia en retrasos de trayecto para visiones del limbo en extremos de la exploración</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-10000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015034</w:t>
            </w:r>
          </w:p>
        </w:tc>
        <w:tc>
          <w:tcPr>
            <w:tcW w:type="dxa" w:w="1514"/>
          </w:tcPr>
          <w:p>
            <w:r/>
            <w:r>
              <w:rPr>
                <w:rFonts w:ascii="Verdana" w:hAnsi="Verdana"/>
                <w:b w:val="0"/>
                <w:sz w:val="16"/>
              </w:rPr>
              <w:t>Error estimado en la diferencia de retraso de trayecto</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015035</w:t>
            </w:r>
          </w:p>
        </w:tc>
        <w:tc>
          <w:tcPr>
            <w:tcW w:type="dxa" w:w="1514"/>
          </w:tcPr>
          <w:p>
            <w:r/>
            <w:r>
              <w:rPr>
                <w:rFonts w:ascii="Verdana" w:hAnsi="Verdana"/>
                <w:b w:val="0"/>
                <w:sz w:val="16"/>
              </w:rPr>
              <w:t>Componente del retraso del trayecto cenital debido al vapor de agua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015036</w:t>
            </w:r>
          </w:p>
        </w:tc>
        <w:tc>
          <w:tcPr>
            <w:tcW w:type="dxa" w:w="1514"/>
          </w:tcPr>
          <w:p>
            <w:r/>
            <w:r>
              <w:rPr>
                <w:rFonts w:ascii="Verdana" w:hAnsi="Verdana"/>
                <w:b w:val="0"/>
                <w:sz w:val="16"/>
              </w:rPr>
              <w:t>Refractividad atmosférica</w:t>
            </w:r>
          </w:p>
        </w:tc>
        <w:tc>
          <w:tcPr>
            <w:tcW w:type="dxa" w:w="1514"/>
          </w:tcPr>
          <w:p>
            <w:r/>
            <w:r>
              <w:rPr>
                <w:rFonts w:ascii="Verdana" w:hAnsi="Verdana"/>
                <w:b w:val="0"/>
                <w:sz w:val="16"/>
              </w:rPr>
              <w:t>Unidades N</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19</w:t>
            </w:r>
          </w:p>
        </w:tc>
        <w:tc>
          <w:tcPr>
            <w:tcW w:type="dxa" w:w="1514"/>
          </w:tcPr>
          <w:p>
            <w:r/>
            <w:r>
              <w:rPr>
                <w:rFonts w:ascii="Verdana" w:hAnsi="Verdana"/>
                <w:b w:val="0"/>
                <w:sz w:val="16"/>
              </w:rPr>
              <w:t>Unidades N</w:t>
            </w:r>
          </w:p>
        </w:tc>
        <w:tc>
          <w:tcPr>
            <w:tcW w:type="dxa" w:w="1514"/>
          </w:tcPr>
          <w:p>
            <w:r/>
            <w:r>
              <w:rPr>
                <w:rFonts w:ascii="Verdana" w:hAnsi="Verdana"/>
                <w:b w:val="0"/>
                <w:sz w:val="16"/>
              </w:rPr>
              <w:t>3</w:t>
            </w:r>
          </w:p>
        </w:tc>
        <w:tc>
          <w:tcPr>
            <w:tcW w:type="dxa" w:w="1514"/>
          </w:tcPr>
          <w:p>
            <w:r/>
            <w:r>
              <w:rPr>
                <w:rFonts w:ascii="Verdana" w:hAnsi="Verdana"/>
                <w:b w:val="0"/>
                <w:sz w:val="16"/>
              </w:rPr>
              <w:t>6</w:t>
            </w:r>
          </w:p>
        </w:tc>
        <w:tc>
          <w:tcPr>
            <w:tcW w:type="dxa" w:w="1514"/>
          </w:tcPr>
          <w:p>
            <w:r/>
            <w:r>
              <w:rPr>
                <w:rFonts w:ascii="Verdana" w:hAnsi="Verdana"/>
                <w:b w:val="0"/>
                <w:sz w:val="16"/>
              </w:rPr>
              <w:t>Note 142: La refractividad, N, está relacionada con el índice de refracción n mediante la fórmula N = 106 (n - 1). Por consiguiente, N carece de dimensiones, pero los valores calculados mediante la fórmula se expresan convencionalmente en “unidades N”.</w:t>
            </w:r>
          </w:p>
        </w:tc>
      </w:tr>
      <w:tr>
        <w:trPr>
          <w:cantSplit/>
        </w:trPr>
        <w:tc>
          <w:tcPr>
            <w:tcW w:type="dxa" w:w="1514"/>
          </w:tcPr>
          <w:p>
            <w:r/>
            <w:r>
              <w:rPr>
                <w:rFonts w:ascii="Verdana" w:hAnsi="Verdana"/>
                <w:b w:val="0"/>
                <w:sz w:val="16"/>
              </w:rPr>
              <w:t>015037</w:t>
            </w:r>
          </w:p>
        </w:tc>
        <w:tc>
          <w:tcPr>
            <w:tcW w:type="dxa" w:w="1514"/>
          </w:tcPr>
          <w:p>
            <w:r/>
            <w:r>
              <w:rPr>
                <w:rFonts w:ascii="Verdana" w:hAnsi="Verdana"/>
                <w:b w:val="0"/>
                <w:sz w:val="16"/>
              </w:rPr>
              <w:t>Ángulo de curvatura</w:t>
            </w:r>
          </w:p>
        </w:tc>
        <w:tc>
          <w:tcPr>
            <w:tcW w:type="dxa" w:w="1514"/>
          </w:tcPr>
          <w:p>
            <w:r/>
            <w:r>
              <w:rPr>
                <w:rFonts w:ascii="Verdana" w:hAnsi="Verdana"/>
                <w:b w:val="0"/>
                <w:sz w:val="16"/>
              </w:rPr>
              <w:t>rad</w:t>
            </w:r>
          </w:p>
        </w:tc>
        <w:tc>
          <w:tcPr>
            <w:tcW w:type="dxa" w:w="1514"/>
          </w:tcPr>
          <w:p>
            <w:r/>
            <w:r>
              <w:rPr>
                <w:rFonts w:ascii="Verdana" w:hAnsi="Verdana"/>
                <w:b w:val="0"/>
                <w:sz w:val="16"/>
              </w:rPr>
              <w:t>8</w:t>
            </w:r>
          </w:p>
        </w:tc>
        <w:tc>
          <w:tcPr>
            <w:tcW w:type="dxa" w:w="1514"/>
          </w:tcPr>
          <w:p>
            <w:r/>
            <w:r>
              <w:rPr>
                <w:rFonts w:ascii="Verdana" w:hAnsi="Verdana"/>
                <w:b w:val="0"/>
                <w:sz w:val="16"/>
              </w:rPr>
              <w:t>-100000</w:t>
            </w:r>
          </w:p>
        </w:tc>
        <w:tc>
          <w:tcPr>
            <w:tcW w:type="dxa" w:w="1514"/>
          </w:tcPr>
          <w:p>
            <w:r/>
            <w:r>
              <w:rPr>
                <w:rFonts w:ascii="Verdana" w:hAnsi="Verdana"/>
                <w:b w:val="0"/>
                <w:sz w:val="16"/>
              </w:rPr>
              <w:t>23</w:t>
            </w:r>
          </w:p>
        </w:tc>
        <w:tc>
          <w:tcPr>
            <w:tcW w:type="dxa" w:w="1514"/>
          </w:tcPr>
          <w:p>
            <w:r/>
            <w:r>
              <w:rPr>
                <w:rFonts w:ascii="Verdana" w:hAnsi="Verdana"/>
                <w:b w:val="0"/>
                <w:sz w:val="16"/>
              </w:rPr>
              <w:t>rad</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015038</w:t>
            </w:r>
          </w:p>
        </w:tc>
        <w:tc>
          <w:tcPr>
            <w:tcW w:type="dxa" w:w="1514"/>
          </w:tcPr>
          <w:p>
            <w:r/>
            <w:r>
              <w:rPr>
                <w:rFonts w:ascii="Verdana" w:hAnsi="Verdana"/>
                <w:b w:val="0"/>
                <w:sz w:val="16"/>
              </w:rPr>
              <w:t>Retraso del trayecto debido a una atmósfera neutra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11</w:t>
            </w:r>
          </w:p>
        </w:tc>
        <w:tc>
          <w:tcPr>
            <w:tcW w:type="dxa" w:w="1514"/>
          </w:tcPr>
          <w:p>
            <w:r/>
            <w:r>
              <w:rPr>
                <w:rFonts w:ascii="Verdana" w:hAnsi="Verdana"/>
                <w:b w:val="0"/>
                <w:sz w:val="16"/>
              </w:rPr>
              <w:t>Note 4: Se necesitan algunos descriptores más para reducir el volumen de trabajo con respecto a la base de datos de la estación, por ejemplo para la identificación del estado federal y la identificación de autopista.</w:t>
            </w:r>
          </w:p>
        </w:tc>
      </w:tr>
      <w:tr>
        <w:trPr>
          <w:cantSplit/>
        </w:trPr>
        <w:tc>
          <w:tcPr>
            <w:tcW w:type="dxa" w:w="1514"/>
          </w:tcPr>
          <w:p>
            <w:r/>
            <w:r>
              <w:rPr>
                <w:rFonts w:ascii="Verdana" w:hAnsi="Verdana"/>
                <w:b w:val="0"/>
                <w:sz w:val="16"/>
              </w:rPr>
              <w:t>015039</w:t>
            </w:r>
          </w:p>
        </w:tc>
        <w:tc>
          <w:tcPr>
            <w:tcW w:type="dxa" w:w="1514"/>
          </w:tcPr>
          <w:p>
            <w:r/>
            <w:r>
              <w:rPr>
                <w:rFonts w:ascii="Verdana" w:hAnsi="Verdana"/>
                <w:b w:val="0"/>
                <w:sz w:val="16"/>
              </w:rPr>
              <w:t>Error estimado en el retraso del trayecto atmosférico en una atmósfera neutra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9</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015041</w:t>
            </w:r>
          </w:p>
        </w:tc>
        <w:tc>
          <w:tcPr>
            <w:tcW w:type="dxa" w:w="1514"/>
          </w:tcPr>
          <w:p>
            <w:r/>
            <w:r>
              <w:rPr>
                <w:rFonts w:ascii="Verdana" w:hAnsi="Verdana"/>
                <w:b w:val="0"/>
                <w:sz w:val="16"/>
              </w:rPr>
              <w:t>Índice de dióxido de azufre</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-1200</w:t>
            </w:r>
          </w:p>
        </w:tc>
        <w:tc>
          <w:tcPr>
            <w:tcW w:type="dxa" w:w="1514"/>
          </w:tcPr>
          <w:p>
            <w:r/>
            <w:r>
              <w:rPr>
                <w:rFonts w:ascii="Verdana" w:hAnsi="Verdana"/>
                <w:b w:val="0"/>
                <w:sz w:val="16"/>
              </w:rPr>
              <w:t>14</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78: En la AR IV se notifica la temperatura máxima a las 1200 UTC para el día civil anterior (es decir, la hora final del período no es igual a la hora nominal del informe). Para representar el intervalo de tiempo requerido, se debe incluir dos veces el descriptor 0 04 024. Si el período finaliza a la hora nominal del informe, el valor del segundo 0 04 024 se cifrará en 0.</w:t>
            </w:r>
          </w:p>
        </w:tc>
      </w:tr>
      <w:tr>
        <w:trPr>
          <w:cantSplit/>
        </w:trPr>
        <w:tc>
          <w:tcPr>
            <w:tcW w:type="dxa" w:w="1514"/>
          </w:tcPr>
          <w:p>
            <w:r/>
            <w:r>
              <w:rPr>
                <w:rFonts w:ascii="Verdana" w:hAnsi="Verdana"/>
                <w:b w:val="0"/>
                <w:sz w:val="16"/>
              </w:rPr>
              <w:t>015042</w:t>
            </w:r>
          </w:p>
        </w:tc>
        <w:tc>
          <w:tcPr>
            <w:tcW w:type="dxa" w:w="1514"/>
          </w:tcPr>
          <w:p>
            <w:r/>
            <w:r>
              <w:rPr>
                <w:rFonts w:ascii="Verdana" w:hAnsi="Verdana"/>
                <w:b w:val="0"/>
                <w:sz w:val="16"/>
              </w:rPr>
              <w:t>Reflectancia</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015045</w:t>
            </w:r>
          </w:p>
        </w:tc>
        <w:tc>
          <w:tcPr>
            <w:tcW w:type="dxa" w:w="1514"/>
          </w:tcPr>
          <w:p>
            <w:r/>
            <w:r>
              <w:rPr>
                <w:rFonts w:ascii="Verdana" w:hAnsi="Verdana"/>
                <w:b w:val="0"/>
                <w:sz w:val="16"/>
              </w:rPr>
              <w:t>Dióxido de azufre</w:t>
            </w:r>
          </w:p>
        </w:tc>
        <w:tc>
          <w:tcPr>
            <w:tcW w:type="dxa" w:w="1514"/>
          </w:tcPr>
          <w:p>
            <w:r/>
            <w:r>
              <w:rPr>
                <w:rFonts w:ascii="Verdana" w:hAnsi="Verdana"/>
                <w:b w:val="0"/>
                <w:sz w:val="16"/>
              </w:rPr>
              <w:t>DU</w:t>
            </w:r>
          </w:p>
        </w:tc>
        <w:tc>
          <w:tcPr>
            <w:tcW w:type="dxa" w:w="1514"/>
          </w:tcPr>
          <w:p>
            <w:r/>
            <w:r>
              <w:rPr>
                <w:rFonts w:ascii="Verdana" w:hAnsi="Verdana"/>
                <w:b w:val="0"/>
                <w:sz w:val="16"/>
              </w:rPr>
              <w:t>2</w:t>
            </w:r>
          </w:p>
        </w:tc>
        <w:tc>
          <w:tcPr>
            <w:tcW w:type="dxa" w:w="1514"/>
          </w:tcPr>
          <w:p>
            <w:r/>
            <w:r>
              <w:rPr>
                <w:rFonts w:ascii="Verdana" w:hAnsi="Verdana"/>
                <w:b w:val="0"/>
                <w:sz w:val="16"/>
              </w:rPr>
              <w:t>-2000</w:t>
            </w:r>
          </w:p>
        </w:tc>
        <w:tc>
          <w:tcPr>
            <w:tcW w:type="dxa" w:w="1514"/>
          </w:tcPr>
          <w:p>
            <w:r/>
            <w:r>
              <w:rPr>
                <w:rFonts w:ascii="Verdana" w:hAnsi="Verdana"/>
                <w:b w:val="0"/>
                <w:sz w:val="16"/>
              </w:rPr>
              <w:t>15</w:t>
            </w:r>
          </w:p>
        </w:tc>
        <w:tc>
          <w:tcPr>
            <w:tcW w:type="dxa" w:w="1514"/>
          </w:tcPr>
          <w:p>
            <w:r/>
            <w:r>
              <w:rPr>
                <w:rFonts w:ascii="Verdana" w:hAnsi="Verdana"/>
                <w:b w:val="0"/>
                <w:sz w:val="16"/>
              </w:rPr>
              <w:t>DU</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t>Note 77: En la AR III se notifican las temperaturas máxima diurna y mínima nocturna (es decir, la hora final del período podrá no ser igual a la hora nominal del informe). Para representar el intervalo de tiempo requerido, se debe incluir dos veces el descriptor 0 04 024. Si el período finaliza a la hora nominal del informe, el valor del segundo 0 04 024 se cifrará en 0.</w:t>
            </w:r>
          </w:p>
        </w:tc>
      </w:tr>
      <w:tr>
        <w:trPr>
          <w:cantSplit/>
        </w:trPr>
        <w:tc>
          <w:tcPr>
            <w:tcW w:type="dxa" w:w="1514"/>
          </w:tcPr>
          <w:p>
            <w:r/>
            <w:r>
              <w:rPr>
                <w:rFonts w:ascii="Verdana" w:hAnsi="Verdana"/>
                <w:b w:val="0"/>
                <w:sz w:val="16"/>
              </w:rPr>
              <w:t>015046</w:t>
            </w:r>
          </w:p>
        </w:tc>
        <w:tc>
          <w:tcPr>
            <w:tcW w:type="dxa" w:w="1514"/>
          </w:tcPr>
          <w:p>
            <w:r/>
            <w:r>
              <w:rPr>
                <w:rFonts w:ascii="Verdana" w:hAnsi="Verdana"/>
                <w:b w:val="0"/>
                <w:sz w:val="16"/>
              </w:rPr>
              <w:t>Índice de contaminación por volcanes</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-1000</w:t>
            </w:r>
          </w:p>
        </w:tc>
        <w:tc>
          <w:tcPr>
            <w:tcW w:type="dxa" w:w="1514"/>
          </w:tcPr>
          <w:p>
            <w:r/>
            <w:r>
              <w:rPr>
                <w:rFonts w:ascii="Verdana" w:hAnsi="Verdana"/>
                <w:b w:val="0"/>
                <w:sz w:val="16"/>
              </w:rPr>
              <w:t>11</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t>Note 80: Para este descriptor, las unidades representan la desviación climatológica estándar del valor del ozono troposférico para una latitud determinada. Por valor de 5,0 indica un perfil con un valor del ozono troposférico de 5,0 respecto de la desviación estándar superior al promedio climatológico. ejemplo, un</w:t>
            </w:r>
          </w:p>
        </w:tc>
      </w:tr>
      <w:tr>
        <w:trPr>
          <w:cantSplit/>
        </w:trPr>
        <w:tc>
          <w:tcPr>
            <w:tcW w:type="dxa" w:w="1514"/>
          </w:tcPr>
          <w:p>
            <w:r/>
            <w:r>
              <w:rPr>
                <w:rFonts w:ascii="Verdana" w:hAnsi="Verdana"/>
                <w:b w:val="0"/>
                <w:sz w:val="16"/>
              </w:rPr>
              <w:t>015049</w:t>
            </w:r>
          </w:p>
        </w:tc>
        <w:tc>
          <w:tcPr>
            <w:tcW w:type="dxa" w:w="1514"/>
          </w:tcPr>
          <w:p>
            <w:r/>
            <w:r>
              <w:rPr>
                <w:rFonts w:ascii="Verdana" w:hAnsi="Verdana"/>
                <w:b w:val="0"/>
                <w:sz w:val="16"/>
              </w:rPr>
              <w:t>Exponente de Angstrom de longitud de onda para aerosoles</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-2000</w:t>
            </w:r>
          </w:p>
        </w:tc>
        <w:tc>
          <w:tcPr>
            <w:tcW w:type="dxa" w:w="1514"/>
          </w:tcPr>
          <w:p>
            <w:r/>
            <w:r>
              <w:rPr>
                <w:rFonts w:ascii="Verdana" w:hAnsi="Verdana"/>
                <w:b w:val="0"/>
                <w:sz w:val="16"/>
              </w:rPr>
              <w:t>14</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015051</w:t>
            </w:r>
          </w:p>
        </w:tc>
        <w:tc>
          <w:tcPr>
            <w:tcW w:type="dxa" w:w="1514"/>
          </w:tcPr>
          <w:p>
            <w:r/>
            <w:r>
              <w:rPr>
                <w:rFonts w:ascii="Verdana" w:hAnsi="Verdana"/>
                <w:b w:val="0"/>
                <w:sz w:val="16"/>
              </w:rPr>
              <w:t>Alcance óptico meteorológico</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0</w:t>
            </w:r>
          </w:p>
        </w:tc>
        <w:tc>
          <w:tcPr>
            <w:tcW w:type="dxa" w:w="1514"/>
          </w:tcPr>
          <w:p>
            <w:r/>
            <w:r>
              <w:rPr>
                <w:rFonts w:ascii="Verdana" w:hAnsi="Verdana"/>
                <w:b w:val="0"/>
                <w:sz w:val="16"/>
              </w:rPr>
              <w:t>6</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015052</w:t>
            </w:r>
          </w:p>
        </w:tc>
        <w:tc>
          <w:tcPr>
            <w:tcW w:type="dxa" w:w="1514"/>
          </w:tcPr>
          <w:p>
            <w:r/>
            <w:r>
              <w:rPr>
                <w:rFonts w:ascii="Verdana" w:hAnsi="Verdana"/>
                <w:b w:val="0"/>
                <w:sz w:val="16"/>
              </w:rPr>
              <w:t>Log10 de la densidad numérica de partículas de aerosol con un diámetro superior a 5 nm</w:t>
            </w:r>
          </w:p>
        </w:tc>
        <w:tc>
          <w:tcPr>
            <w:tcW w:type="dxa" w:w="1514"/>
          </w:tcPr>
          <w:p>
            <w:r/>
            <w:r>
              <w:rPr>
                <w:rFonts w:ascii="Verdana" w:hAnsi="Verdana"/>
                <w:b w:val="0"/>
                <w:sz w:val="16"/>
              </w:rPr>
              <w:t>log(m-³)</w:t>
            </w:r>
          </w:p>
        </w:tc>
        <w:tc>
          <w:tcPr>
            <w:tcW w:type="dxa" w:w="1514"/>
          </w:tcPr>
          <w:p>
            <w:r/>
            <w:r>
              <w:rPr>
                <w:rFonts w:ascii="Verdana" w:hAnsi="Verdana"/>
                <w:b w:val="0"/>
                <w:sz w:val="16"/>
              </w:rPr>
              <w:t>1</w:t>
            </w:r>
          </w:p>
        </w:tc>
        <w:tc>
          <w:tcPr>
            <w:tcW w:type="dxa" w:w="1514"/>
          </w:tcPr>
          <w:p>
            <w:r/>
            <w:r>
              <w:rPr>
                <w:rFonts w:ascii="Verdana" w:hAnsi="Verdana"/>
                <w:b w:val="0"/>
                <w:sz w:val="16"/>
              </w:rPr>
              <w:t>60</w:t>
            </w:r>
          </w:p>
        </w:tc>
        <w:tc>
          <w:tcPr>
            <w:tcW w:type="dxa" w:w="1514"/>
          </w:tcPr>
          <w:p>
            <w:r/>
            <w:r>
              <w:rPr>
                <w:rFonts w:ascii="Verdana" w:hAnsi="Verdana"/>
                <w:b w:val="0"/>
                <w:sz w:val="16"/>
              </w:rPr>
              <w:t>6</w:t>
            </w:r>
          </w:p>
        </w:tc>
        <w:tc>
          <w:tcPr>
            <w:tcW w:type="dxa" w:w="1514"/>
          </w:tcPr>
          <w:p>
            <w:r/>
            <w:r>
              <w:rPr>
                <w:rFonts w:ascii="Verdana" w:hAnsi="Verdana"/>
                <w:b w:val="0"/>
                <w:sz w:val="16"/>
              </w:rPr>
              <w:t>log(m-³)</w:t>
            </w:r>
          </w:p>
        </w:tc>
        <w:tc>
          <w:tcPr>
            <w:tcW w:type="dxa" w:w="1514"/>
          </w:tcPr>
          <w:p>
            <w:r/>
            <w:r>
              <w:rPr>
                <w:rFonts w:ascii="Verdana" w:hAnsi="Verdana"/>
                <w:b w:val="0"/>
                <w:sz w:val="16"/>
              </w:rPr>
              <w:t>1</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015053</w:t>
            </w:r>
          </w:p>
        </w:tc>
        <w:tc>
          <w:tcPr>
            <w:tcW w:type="dxa" w:w="1514"/>
          </w:tcPr>
          <w:p>
            <w:r/>
            <w:r>
              <w:rPr>
                <w:rFonts w:ascii="Verdana" w:hAnsi="Verdana"/>
                <w:b w:val="0"/>
                <w:sz w:val="16"/>
              </w:rPr>
              <w:t>Log10 de la densidad numérica de partículas de aerosol con un diámetro superior a 14 nm</w:t>
            </w:r>
          </w:p>
        </w:tc>
        <w:tc>
          <w:tcPr>
            <w:tcW w:type="dxa" w:w="1514"/>
          </w:tcPr>
          <w:p>
            <w:r/>
            <w:r>
              <w:rPr>
                <w:rFonts w:ascii="Verdana" w:hAnsi="Verdana"/>
                <w:b w:val="0"/>
                <w:sz w:val="16"/>
              </w:rPr>
              <w:t>log(m-³)</w:t>
            </w:r>
          </w:p>
        </w:tc>
        <w:tc>
          <w:tcPr>
            <w:tcW w:type="dxa" w:w="1514"/>
          </w:tcPr>
          <w:p>
            <w:r/>
            <w:r>
              <w:rPr>
                <w:rFonts w:ascii="Verdana" w:hAnsi="Verdana"/>
                <w:b w:val="0"/>
                <w:sz w:val="16"/>
              </w:rPr>
              <w:t>2</w:t>
            </w:r>
          </w:p>
        </w:tc>
        <w:tc>
          <w:tcPr>
            <w:tcW w:type="dxa" w:w="1514"/>
          </w:tcPr>
          <w:p>
            <w:r/>
            <w:r>
              <w:rPr>
                <w:rFonts w:ascii="Verdana" w:hAnsi="Verdana"/>
                <w:b w:val="0"/>
                <w:sz w:val="16"/>
              </w:rPr>
              <w:t>600</w:t>
            </w:r>
          </w:p>
        </w:tc>
        <w:tc>
          <w:tcPr>
            <w:tcW w:type="dxa" w:w="1514"/>
          </w:tcPr>
          <w:p>
            <w:r/>
            <w:r>
              <w:rPr>
                <w:rFonts w:ascii="Verdana" w:hAnsi="Verdana"/>
                <w:b w:val="0"/>
                <w:sz w:val="16"/>
              </w:rPr>
              <w:t>9</w:t>
            </w:r>
          </w:p>
        </w:tc>
        <w:tc>
          <w:tcPr>
            <w:tcW w:type="dxa" w:w="1514"/>
          </w:tcPr>
          <w:p>
            <w:r/>
            <w:r>
              <w:rPr>
                <w:rFonts w:ascii="Verdana" w:hAnsi="Verdana"/>
                <w:b w:val="0"/>
                <w:sz w:val="16"/>
              </w:rPr>
              <w:t>log(m-³)</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015054</w:t>
            </w:r>
          </w:p>
        </w:tc>
        <w:tc>
          <w:tcPr>
            <w:tcW w:type="dxa" w:w="1514"/>
          </w:tcPr>
          <w:p>
            <w:r/>
            <w:r>
              <w:rPr>
                <w:rFonts w:ascii="Verdana" w:hAnsi="Verdana"/>
                <w:b w:val="0"/>
                <w:sz w:val="16"/>
              </w:rPr>
              <w:t>Log10 de la densidad numérica de partículas de aerosol con un diámetro comprendido entre 0,25 y 2,5 μm</w:t>
            </w:r>
          </w:p>
        </w:tc>
        <w:tc>
          <w:tcPr>
            <w:tcW w:type="dxa" w:w="1514"/>
          </w:tcPr>
          <w:p>
            <w:r/>
            <w:r>
              <w:rPr>
                <w:rFonts w:ascii="Verdana" w:hAnsi="Verdana"/>
                <w:b w:val="0"/>
                <w:sz w:val="16"/>
              </w:rPr>
              <w:t>log(m-³)</w:t>
            </w:r>
          </w:p>
        </w:tc>
        <w:tc>
          <w:tcPr>
            <w:tcW w:type="dxa" w:w="1514"/>
          </w:tcPr>
          <w:p>
            <w:r/>
            <w:r>
              <w:rPr>
                <w:rFonts w:ascii="Verdana" w:hAnsi="Verdana"/>
                <w:b w:val="0"/>
                <w:sz w:val="16"/>
              </w:rPr>
              <w:t>2</w:t>
            </w:r>
          </w:p>
        </w:tc>
        <w:tc>
          <w:tcPr>
            <w:tcW w:type="dxa" w:w="1514"/>
          </w:tcPr>
          <w:p>
            <w:r/>
            <w:r>
              <w:rPr>
                <w:rFonts w:ascii="Verdana" w:hAnsi="Verdana"/>
                <w:b w:val="0"/>
                <w:sz w:val="16"/>
              </w:rPr>
              <w:t>550</w:t>
            </w:r>
          </w:p>
        </w:tc>
        <w:tc>
          <w:tcPr>
            <w:tcW w:type="dxa" w:w="1514"/>
          </w:tcPr>
          <w:p>
            <w:r/>
            <w:r>
              <w:rPr>
                <w:rFonts w:ascii="Verdana" w:hAnsi="Verdana"/>
                <w:b w:val="0"/>
                <w:sz w:val="16"/>
              </w:rPr>
              <w:t>9</w:t>
            </w:r>
          </w:p>
        </w:tc>
        <w:tc>
          <w:tcPr>
            <w:tcW w:type="dxa" w:w="1514"/>
          </w:tcPr>
          <w:p>
            <w:r/>
            <w:r>
              <w:rPr>
                <w:rFonts w:ascii="Verdana" w:hAnsi="Verdana"/>
                <w:b w:val="0"/>
                <w:sz w:val="16"/>
              </w:rPr>
              <w:t>log(m-³)</w:t>
            </w:r>
          </w:p>
        </w:tc>
        <w:tc>
          <w:tcPr>
            <w:tcW w:type="dxa" w:w="1514"/>
          </w:tcPr>
          <w:p>
            <w:r/>
            <w:r>
              <w:rPr>
                <w:rFonts w:ascii="Verdana" w:hAnsi="Verdana"/>
                <w:b w:val="0"/>
                <w:sz w:val="16"/>
              </w:rPr>
              <w:t>2</w:t>
            </w:r>
          </w:p>
        </w:tc>
        <w:tc>
          <w:tcPr>
            <w:tcW w:type="dxa" w:w="1514"/>
          </w:tcPr>
          <w:p>
            <w:r/>
            <w:r>
              <w:rPr>
                <w:rFonts w:ascii="Verdana" w:hAnsi="Verdana"/>
                <w:b w:val="0"/>
                <w:sz w:val="16"/>
              </w:rPr>
              <w:t>4</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015055</w:t>
            </w:r>
          </w:p>
        </w:tc>
        <w:tc>
          <w:tcPr>
            <w:tcW w:type="dxa" w:w="1514"/>
          </w:tcPr>
          <w:p>
            <w:r/>
            <w:r>
              <w:rPr>
                <w:rFonts w:ascii="Verdana" w:hAnsi="Verdana"/>
                <w:b w:val="0"/>
                <w:sz w:val="16"/>
              </w:rPr>
              <w:t>Proporción de aerosoles no volátiles</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7</w:t>
            </w:r>
          </w:p>
        </w:tc>
        <w:tc>
          <w:tcPr>
            <w:tcW w:type="dxa" w:w="1514"/>
          </w:tcPr>
          <w:p>
            <w:r/>
            <w:r>
              <w:rPr>
                <w:rFonts w:ascii="Verdana" w:hAnsi="Verdana"/>
                <w:b w:val="0"/>
                <w:sz w:val="16"/>
              </w:rPr>
              <w:t>Numérica</w:t>
            </w:r>
          </w:p>
        </w:tc>
        <w:tc>
          <w:tcPr>
            <w:tcW w:type="dxa" w:w="1514"/>
          </w:tcPr>
          <w:p>
            <w:r/>
            <w:r>
              <w:rPr>
                <w:rFonts w:ascii="Verdana" w:hAnsi="Verdana"/>
                <w:b w:val="0"/>
                <w:sz w:val="16"/>
              </w:rPr>
              <w:t>2</w:t>
            </w:r>
          </w:p>
        </w:tc>
        <w:tc>
          <w:tcPr>
            <w:tcW w:type="dxa" w:w="1514"/>
          </w:tcPr>
          <w:p>
            <w:r/>
            <w:r>
              <w:rPr>
                <w:rFonts w:ascii="Verdana" w:hAnsi="Verdana"/>
                <w:b w:val="0"/>
                <w:sz w:val="16"/>
              </w:rPr>
              <w:t>3</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015062</w:t>
            </w:r>
          </w:p>
        </w:tc>
        <w:tc>
          <w:tcPr>
            <w:tcW w:type="dxa" w:w="1514"/>
          </w:tcPr>
          <w:p>
            <w:r/>
            <w:r>
              <w:rPr>
                <w:rFonts w:ascii="Verdana" w:hAnsi="Verdana"/>
                <w:b w:val="0"/>
                <w:sz w:val="16"/>
              </w:rPr>
              <w:t>Espesor óptico de los aerosoles</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-1000</w:t>
            </w:r>
          </w:p>
        </w:tc>
        <w:tc>
          <w:tcPr>
            <w:tcW w:type="dxa" w:w="1514"/>
          </w:tcPr>
          <w:p>
            <w:r/>
            <w:r>
              <w:rPr>
                <w:rFonts w:ascii="Verdana" w:hAnsi="Verdana"/>
                <w:b w:val="0"/>
                <w:sz w:val="16"/>
              </w:rPr>
              <w:t>14</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015063</w:t>
            </w:r>
          </w:p>
        </w:tc>
        <w:tc>
          <w:tcPr>
            <w:tcW w:type="dxa" w:w="1514"/>
          </w:tcPr>
          <w:p>
            <w:r/>
            <w:r>
              <w:rPr>
                <w:rFonts w:ascii="Verdana" w:hAnsi="Verdana"/>
                <w:b w:val="0"/>
                <w:sz w:val="16"/>
              </w:rPr>
              <w:t>Retrodispersión atenuada</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015064</w:t>
            </w:r>
          </w:p>
        </w:tc>
        <w:tc>
          <w:tcPr>
            <w:tcW w:type="dxa" w:w="1514"/>
          </w:tcPr>
          <w:p>
            <w:r/>
            <w:r>
              <w:rPr>
                <w:rFonts w:ascii="Verdana" w:hAnsi="Verdana"/>
                <w:b w:val="0"/>
                <w:sz w:val="16"/>
              </w:rPr>
              <w:t>Incertidumbre en la retrodispersión atenuada</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015065</w:t>
            </w:r>
          </w:p>
        </w:tc>
        <w:tc>
          <w:tcPr>
            <w:tcW w:type="dxa" w:w="1514"/>
          </w:tcPr>
          <w:p>
            <w:r/>
            <w:r>
              <w:rPr>
                <w:rFonts w:ascii="Verdana" w:hAnsi="Verdana"/>
                <w:b w:val="0"/>
                <w:sz w:val="16"/>
              </w:rPr>
              <w:t>Coeficiente de retrodispersión de las partículas</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015066</w:t>
            </w:r>
          </w:p>
        </w:tc>
        <w:tc>
          <w:tcPr>
            <w:tcW w:type="dxa" w:w="1514"/>
          </w:tcPr>
          <w:p>
            <w:r/>
            <w:r>
              <w:rPr>
                <w:rFonts w:ascii="Verdana" w:hAnsi="Verdana"/>
                <w:b w:val="0"/>
                <w:sz w:val="16"/>
              </w:rPr>
              <w:t>Incertidumbre en el coeficiente de retrodispersión de las partículas</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015067</w:t>
            </w:r>
          </w:p>
        </w:tc>
        <w:tc>
          <w:tcPr>
            <w:tcW w:type="dxa" w:w="1514"/>
          </w:tcPr>
          <w:p>
            <w:r/>
            <w:r>
              <w:rPr>
                <w:rFonts w:ascii="Verdana" w:hAnsi="Verdana"/>
                <w:b w:val="0"/>
                <w:sz w:val="16"/>
              </w:rPr>
              <w:t>Coeficiente de extinción de las partículas</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015068</w:t>
            </w:r>
          </w:p>
        </w:tc>
        <w:tc>
          <w:tcPr>
            <w:tcW w:type="dxa" w:w="1514"/>
          </w:tcPr>
          <w:p>
            <w:r/>
            <w:r>
              <w:rPr>
                <w:rFonts w:ascii="Verdana" w:hAnsi="Verdana"/>
                <w:b w:val="0"/>
                <w:sz w:val="16"/>
              </w:rPr>
              <w:t>Incertidumbre en el coeficiente de extinción de las partículas</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015069</w:t>
            </w:r>
          </w:p>
        </w:tc>
        <w:tc>
          <w:tcPr>
            <w:tcW w:type="dxa" w:w="1514"/>
          </w:tcPr>
          <w:p>
            <w:r/>
            <w:r>
              <w:rPr>
                <w:rFonts w:ascii="Verdana" w:hAnsi="Verdana"/>
                <w:b w:val="0"/>
                <w:sz w:val="16"/>
              </w:rPr>
              <w:t>Ratio lidar partículas</w:t>
            </w:r>
          </w:p>
        </w:tc>
        <w:tc>
          <w:tcPr>
            <w:tcW w:type="dxa" w:w="1514"/>
          </w:tcPr>
          <w:p>
            <w:r/>
            <w:r>
              <w:rPr>
                <w:rFonts w:ascii="Verdana" w:hAnsi="Verdana"/>
                <w:b w:val="0"/>
                <w:sz w:val="16"/>
              </w:rPr>
              <w:t>sr</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sr</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015070</w:t>
            </w:r>
          </w:p>
        </w:tc>
        <w:tc>
          <w:tcPr>
            <w:tcW w:type="dxa" w:w="1514"/>
          </w:tcPr>
          <w:p>
            <w:r/>
            <w:r>
              <w:rPr>
                <w:rFonts w:ascii="Verdana" w:hAnsi="Verdana"/>
                <w:b w:val="0"/>
                <w:sz w:val="16"/>
              </w:rPr>
              <w:t>Incertidumbre en el ratio lidar</w:t>
            </w:r>
          </w:p>
        </w:tc>
        <w:tc>
          <w:tcPr>
            <w:tcW w:type="dxa" w:w="1514"/>
          </w:tcPr>
          <w:p>
            <w:r/>
            <w:r>
              <w:rPr>
                <w:rFonts w:ascii="Verdana" w:hAnsi="Verdana"/>
                <w:b w:val="0"/>
                <w:sz w:val="16"/>
              </w:rPr>
              <w:t>sr</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sr</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015071</w:t>
            </w:r>
          </w:p>
        </w:tc>
        <w:tc>
          <w:tcPr>
            <w:tcW w:type="dxa" w:w="1514"/>
          </w:tcPr>
          <w:p>
            <w:r/>
            <w:r>
              <w:rPr>
                <w:rFonts w:ascii="Verdana" w:hAnsi="Verdana"/>
                <w:b w:val="0"/>
                <w:sz w:val="16"/>
              </w:rPr>
              <w:t>Ratio de despolarización de las partículas</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015072</w:t>
            </w:r>
          </w:p>
        </w:tc>
        <w:tc>
          <w:tcPr>
            <w:tcW w:type="dxa" w:w="1514"/>
          </w:tcPr>
          <w:p>
            <w:r/>
            <w:r>
              <w:rPr>
                <w:rFonts w:ascii="Verdana" w:hAnsi="Verdana"/>
                <w:b w:val="0"/>
                <w:sz w:val="16"/>
              </w:rPr>
              <w:t>Incertidumbre en el ratio de despolarización de las partículas</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015073</w:t>
            </w:r>
          </w:p>
        </w:tc>
        <w:tc>
          <w:tcPr>
            <w:tcW w:type="dxa" w:w="1514"/>
          </w:tcPr>
          <w:p>
            <w:r/>
            <w:r>
              <w:rPr>
                <w:rFonts w:ascii="Verdana" w:hAnsi="Verdana"/>
                <w:b w:val="0"/>
                <w:sz w:val="16"/>
              </w:rPr>
              <w:t>Retrodispersión atenuada</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-524288</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015074</w:t>
            </w:r>
          </w:p>
        </w:tc>
        <w:tc>
          <w:tcPr>
            <w:tcW w:type="dxa" w:w="1514"/>
          </w:tcPr>
          <w:p>
            <w:r/>
            <w:r>
              <w:rPr>
                <w:rFonts w:ascii="Verdana" w:hAnsi="Verdana"/>
                <w:b w:val="0"/>
                <w:sz w:val="16"/>
              </w:rPr>
              <w:t>Coeficiente de retrodispersión de las partículas</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-524288</w:t>
            </w:r>
          </w:p>
        </w:tc>
        <w:tc>
          <w:tcPr>
            <w:tcW w:type="dxa" w:w="1514"/>
          </w:tcPr>
          <w:p>
            <w:r/>
            <w:r>
              <w:rPr>
                <w:rFonts w:ascii="Verdana" w:hAnsi="Verdana"/>
                <w:b w:val="0"/>
                <w:sz w:val="16"/>
              </w:rPr>
              <w:t>20</w:t>
            </w:r>
          </w:p>
        </w:tc>
        <w:tc>
          <w:tcPr>
            <w:tcW w:type="dxa" w:w="1514"/>
          </w:tcPr>
          <w:p>
            <w:r/>
            <w:r>
              <w:rPr>
                <w:rFonts w:ascii="Verdana" w:hAnsi="Verdana"/>
                <w:b w:val="0"/>
                <w:sz w:val="16"/>
              </w:rPr>
              <w:t>m-1 sr-1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015075</w:t>
            </w:r>
          </w:p>
        </w:tc>
        <w:tc>
          <w:tcPr>
            <w:tcW w:type="dxa" w:w="1514"/>
          </w:tcPr>
          <w:p>
            <w:r/>
            <w:r>
              <w:rPr>
                <w:rFonts w:ascii="Verdana" w:hAnsi="Verdana"/>
                <w:b w:val="0"/>
                <w:sz w:val="16"/>
              </w:rPr>
              <w:t>Coeficiente de extinción de las partículas</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-524288</w:t>
            </w:r>
          </w:p>
        </w:tc>
        <w:tc>
          <w:tcPr>
            <w:tcW w:type="dxa" w:w="1514"/>
          </w:tcPr>
          <w:p>
            <w:r/>
            <w:r>
              <w:rPr>
                <w:rFonts w:ascii="Verdana" w:hAnsi="Verdana"/>
                <w:b w:val="0"/>
                <w:sz w:val="16"/>
              </w:rPr>
              <w:t>20</w:t>
            </w:r>
          </w:p>
        </w:tc>
        <w:tc>
          <w:tcPr>
            <w:tcW w:type="dxa" w:w="1514"/>
          </w:tcPr>
          <w:p>
            <w:r/>
            <w:r>
              <w:rPr>
                <w:rFonts w:ascii="Verdana" w:hAnsi="Verdana"/>
                <w:b w:val="0"/>
                <w:sz w:val="16"/>
              </w:rPr>
              <w:t>m-1</w:t>
            </w:r>
          </w:p>
        </w:tc>
        <w:tc>
          <w:tcPr>
            <w:tcW w:type="dxa" w:w="1514"/>
          </w:tcPr>
          <w:p>
            <w:r/>
            <w:r>
              <w:rPr>
                <w:rFonts w:ascii="Verdana" w:hAnsi="Verdana"/>
                <w:b w:val="0"/>
                <w:sz w:val="16"/>
              </w:rPr>
              <w:t>8</w:t>
            </w:r>
          </w:p>
        </w:tc>
        <w:tc>
          <w:tcPr>
            <w:tcW w:type="dxa" w:w="1514"/>
          </w:tcPr>
          <w:p>
            <w:r/>
            <w:r>
              <w:rPr>
                <w:rFonts w:ascii="Verdana" w:hAnsi="Verdana"/>
                <w:b w:val="0"/>
                <w:sz w:val="16"/>
              </w:rPr>
              <w:t>7</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015076</w:t>
            </w:r>
          </w:p>
        </w:tc>
        <w:tc>
          <w:tcPr>
            <w:tcW w:type="dxa" w:w="1514"/>
          </w:tcPr>
          <w:p>
            <w:r/>
            <w:r>
              <w:rPr>
                <w:rFonts w:ascii="Verdana" w:hAnsi="Verdana"/>
                <w:b w:val="0"/>
                <w:sz w:val="16"/>
              </w:rPr>
              <w:t>Ratio partículas lidar</w:t>
            </w:r>
          </w:p>
        </w:tc>
        <w:tc>
          <w:tcPr>
            <w:tcW w:type="dxa" w:w="1514"/>
          </w:tcPr>
          <w:p>
            <w:r/>
            <w:r>
              <w:rPr>
                <w:rFonts w:ascii="Verdana" w:hAnsi="Verdana"/>
                <w:b w:val="0"/>
                <w:sz w:val="16"/>
              </w:rPr>
              <w:t>sr</w:t>
            </w:r>
          </w:p>
        </w:tc>
        <w:tc>
          <w:tcPr>
            <w:tcW w:type="dxa" w:w="1514"/>
          </w:tcPr>
          <w:p>
            <w:r/>
            <w:r>
              <w:rPr>
                <w:rFonts w:ascii="Verdana" w:hAnsi="Verdana"/>
                <w:b w:val="0"/>
                <w:sz w:val="16"/>
              </w:rPr>
              <w:t>1</w:t>
            </w:r>
          </w:p>
        </w:tc>
        <w:tc>
          <w:tcPr>
            <w:tcW w:type="dxa" w:w="1514"/>
          </w:tcPr>
          <w:p>
            <w:r/>
            <w:r>
              <w:rPr>
                <w:rFonts w:ascii="Verdana" w:hAnsi="Verdana"/>
                <w:b w:val="0"/>
                <w:sz w:val="16"/>
              </w:rPr>
              <w:t>-2048</w:t>
            </w:r>
          </w:p>
        </w:tc>
        <w:tc>
          <w:tcPr>
            <w:tcW w:type="dxa" w:w="1514"/>
          </w:tcPr>
          <w:p>
            <w:r/>
            <w:r>
              <w:rPr>
                <w:rFonts w:ascii="Verdana" w:hAnsi="Verdana"/>
                <w:b w:val="0"/>
                <w:sz w:val="16"/>
              </w:rPr>
              <w:t>13</w:t>
            </w:r>
          </w:p>
        </w:tc>
        <w:tc>
          <w:tcPr>
            <w:tcW w:type="dxa" w:w="1514"/>
          </w:tcPr>
          <w:p>
            <w:r/>
            <w:r>
              <w:rPr>
                <w:rFonts w:ascii="Verdana" w:hAnsi="Verdana"/>
                <w:b w:val="0"/>
                <w:sz w:val="16"/>
              </w:rPr>
              <w:t>sr</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015077</w:t>
            </w:r>
          </w:p>
        </w:tc>
        <w:tc>
          <w:tcPr>
            <w:tcW w:type="dxa" w:w="1514"/>
          </w:tcPr>
          <w:p>
            <w:r/>
            <w:r>
              <w:rPr>
                <w:rFonts w:ascii="Verdana" w:hAnsi="Verdana"/>
                <w:b w:val="0"/>
                <w:sz w:val="16"/>
              </w:rPr>
              <w:t>Incertidumbre en el ratio lidar</w:t>
            </w:r>
          </w:p>
        </w:tc>
        <w:tc>
          <w:tcPr>
            <w:tcW w:type="dxa" w:w="1514"/>
          </w:tcPr>
          <w:p>
            <w:r/>
            <w:r>
              <w:rPr>
                <w:rFonts w:ascii="Verdana" w:hAnsi="Verdana"/>
                <w:b w:val="0"/>
                <w:sz w:val="16"/>
              </w:rPr>
              <w:t>sr</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sr</w:t>
            </w:r>
          </w:p>
        </w:tc>
        <w:tc>
          <w:tcPr>
            <w:tcW w:type="dxa" w:w="1514"/>
          </w:tcPr>
          <w:p>
            <w:r/>
            <w:r>
              <w:rPr>
                <w:rFonts w:ascii="Verdana" w:hAnsi="Verdana"/>
                <w:b w:val="0"/>
                <w:sz w:val="16"/>
              </w:rPr>
              <w:t>1</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015078</w:t>
            </w:r>
          </w:p>
        </w:tc>
        <w:tc>
          <w:tcPr>
            <w:tcW w:type="dxa" w:w="1514"/>
          </w:tcPr>
          <w:p>
            <w:r/>
            <w:r>
              <w:rPr>
                <w:rFonts w:ascii="Verdana" w:hAnsi="Verdana"/>
                <w:b w:val="0"/>
                <w:sz w:val="16"/>
              </w:rPr>
              <w:t>Ratio de despolarización de las partículas</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-8192</w:t>
            </w:r>
          </w:p>
        </w:tc>
        <w:tc>
          <w:tcPr>
            <w:tcW w:type="dxa" w:w="1514"/>
          </w:tcPr>
          <w:p>
            <w:r/>
            <w:r>
              <w:rPr>
                <w:rFonts w:ascii="Verdana" w:hAnsi="Verdana"/>
                <w:b w:val="0"/>
                <w:sz w:val="16"/>
              </w:rPr>
              <w:t>15</w:t>
            </w:r>
          </w:p>
        </w:tc>
        <w:tc>
          <w:tcPr>
            <w:tcW w:type="dxa" w:w="1514"/>
          </w:tcPr>
          <w:p>
            <w:r/>
            <w:r>
              <w:rPr>
                <w:rFonts w:ascii="Verdana" w:hAnsi="Verdana"/>
                <w:b w:val="0"/>
                <w:sz w:val="16"/>
              </w:rPr>
              <w:t>%</w:t>
            </w:r>
          </w:p>
        </w:tc>
        <w:tc>
          <w:tcPr>
            <w:tcW w:type="dxa" w:w="1514"/>
          </w:tcPr>
          <w:p>
            <w:r/>
            <w:r>
              <w:rPr>
                <w:rFonts w:ascii="Verdana" w:hAnsi="Verdana"/>
                <w:b w:val="0"/>
                <w:sz w:val="16"/>
              </w:rPr>
              <w:t>2</w:t>
            </w:r>
          </w:p>
        </w:tc>
        <w:tc>
          <w:tcPr>
            <w:tcW w:type="dxa" w:w="1514"/>
          </w:tcPr>
          <w:p>
            <w:r/>
            <w:r>
              <w:rPr>
                <w:rFonts w:ascii="Verdana" w:hAnsi="Verdana"/>
                <w:b w:val="0"/>
                <w:sz w:val="16"/>
              </w:rPr>
              <w:t>5</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015079</w:t>
            </w:r>
          </w:p>
        </w:tc>
        <w:tc>
          <w:tcPr>
            <w:tcW w:type="dxa" w:w="1514"/>
          </w:tcPr>
          <w:p>
            <w:r/>
            <w:r>
              <w:rPr>
                <w:rFonts w:ascii="Verdana" w:hAnsi="Verdana"/>
                <w:b w:val="0"/>
                <w:sz w:val="16"/>
              </w:rPr>
              <w:t>Retraso del trayecto cenital debido a una atmósfera neutra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9</w:t>
            </w:r>
          </w:p>
        </w:tc>
        <w:tc>
          <w:tcPr>
            <w:tcW w:type="dxa" w:w="1514"/>
          </w:tcPr>
          <w:p>
            <w:r/>
            <w:r>
              <w:rPr>
                <w:rFonts w:ascii="Verdana" w:hAnsi="Verdana"/>
                <w:b w:val="0"/>
                <w:sz w:val="16"/>
              </w:rPr>
              <w:t>Note 5: Este valor, que ha sido proporcionado por el centro secundario ARINC, es más bien un pseudovalor que el valor real. Solo ARINC conoce la relación entre este pseudovalor y el valor verdadero.</w:t>
            </w:r>
          </w:p>
        </w:tc>
      </w:tr>
      <w:tr>
        <w:trPr>
          <w:cantSplit/>
        </w:trPr>
        <w:tc>
          <w:tcPr>
            <w:tcW w:type="dxa" w:w="1514"/>
          </w:tcPr>
          <w:p>
            <w:r/>
            <w:r>
              <w:rPr>
                <w:rFonts w:ascii="Verdana" w:hAnsi="Verdana"/>
                <w:b w:val="0"/>
                <w:sz w:val="16"/>
              </w:rPr>
              <w:t>015080</w:t>
            </w:r>
          </w:p>
        </w:tc>
        <w:tc>
          <w:tcPr>
            <w:tcW w:type="dxa" w:w="1514"/>
          </w:tcPr>
          <w:p>
            <w:r/>
            <w:r>
              <w:rPr>
                <w:rFonts w:ascii="Verdana" w:hAnsi="Verdana"/>
                <w:b w:val="0"/>
                <w:sz w:val="16"/>
              </w:rPr>
              <w:t>Error estimado en el retraso del trayecto cenital debido a una atmósfera neutra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12</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8</w:t>
            </w:r>
          </w:p>
        </w:tc>
        <w:tc>
          <w:tcPr>
            <w:tcW w:type="dxa" w:w="1514"/>
          </w:tcPr>
          <w:p>
            <w:r/>
            <w:r>
              <w:rPr>
                <w:rFonts w:ascii="Verdana" w:hAnsi="Verdana"/>
                <w:b w:val="0"/>
                <w:sz w:val="16"/>
              </w:rPr>
            </w:r>
          </w:p>
        </w:tc>
      </w:tr>
      <w:tr>
        <w:trPr>
          <w:cantSplit/>
        </w:trPr>
        <w:tc>
          <w:tcPr>
            <w:tcW w:type="dxa" w:w="1514"/>
          </w:tcPr>
          <w:p>
            <w:r/>
            <w:r>
              <w:rPr>
                <w:rFonts w:ascii="Verdana" w:hAnsi="Verdana"/>
                <w:b w:val="0"/>
                <w:sz w:val="16"/>
              </w:rPr>
              <w:t>015081</w:t>
            </w:r>
          </w:p>
        </w:tc>
        <w:tc>
          <w:tcPr>
            <w:tcW w:type="dxa" w:w="1514"/>
          </w:tcPr>
          <w:p>
            <w:r/>
            <w:r>
              <w:rPr>
                <w:rFonts w:ascii="Verdana" w:hAnsi="Verdana"/>
                <w:b w:val="0"/>
                <w:sz w:val="16"/>
              </w:rPr>
              <w:t>Retraso del trayecto húmedo debido a una atmósfera neutra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18</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10</w:t>
            </w:r>
          </w:p>
        </w:tc>
        <w:tc>
          <w:tcPr>
            <w:tcW w:type="dxa" w:w="1514"/>
          </w:tcPr>
          <w:p>
            <w:r/>
            <w:r>
              <w:rPr>
                <w:rFonts w:ascii="Verdana" w:hAnsi="Verdana"/>
                <w:b w:val="0"/>
                <w:sz w:val="16"/>
              </w:rPr>
              <w:t>Note 6: Valores de las tablas de cifrado : FRQ = cifra de clave 8 (8 octas) : OCNL EMBD : ISOL = cifra de clave 6 (6 octas) = cifra de clave 2 (2 octas) cuando se trata de un cumulonimbus</w:t>
            </w:r>
          </w:p>
        </w:tc>
      </w:tr>
      <w:tr>
        <w:trPr>
          <w:cantSplit/>
        </w:trPr>
        <w:tc>
          <w:tcPr>
            <w:tcW w:type="dxa" w:w="1514"/>
          </w:tcPr>
          <w:p>
            <w:r/>
            <w:r>
              <w:rPr>
                <w:rFonts w:ascii="Verdana" w:hAnsi="Verdana"/>
                <w:b w:val="0"/>
                <w:sz w:val="16"/>
              </w:rPr>
              <w:t>015082</w:t>
            </w:r>
          </w:p>
        </w:tc>
        <w:tc>
          <w:tcPr>
            <w:tcW w:type="dxa" w:w="1514"/>
          </w:tcPr>
          <w:p>
            <w:r/>
            <w:r>
              <w:rPr>
                <w:rFonts w:ascii="Verdana" w:hAnsi="Verdana"/>
                <w:b w:val="0"/>
                <w:sz w:val="16"/>
              </w:rPr>
              <w:t>Vapor de agua integrado en el trayecto</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kg m-2</w:t>
            </w:r>
          </w:p>
        </w:tc>
        <w:tc>
          <w:tcPr>
            <w:tcW w:type="dxa" w:w="1514"/>
          </w:tcPr>
          <w:p>
            <w:r/>
            <w:r>
              <w:rPr>
                <w:rFonts w:ascii="Verdana" w:hAnsi="Verdana"/>
                <w:b w:val="0"/>
                <w:sz w:val="16"/>
              </w:rPr>
              <w:t>1</w:t>
            </w:r>
          </w:p>
        </w:tc>
        <w:tc>
          <w:tcPr>
            <w:tcW w:type="dxa" w:w="1514"/>
          </w:tcPr>
          <w:p>
            <w:r/>
            <w:r>
              <w:rPr>
                <w:rFonts w:ascii="Verdana" w:hAnsi="Verdana"/>
                <w:b w:val="0"/>
                <w:sz w:val="16"/>
              </w:rPr>
              <w:t>10</w:t>
            </w:r>
          </w:p>
        </w:tc>
        <w:tc>
          <w:tcPr>
            <w:tcW w:type="dxa" w:w="1514"/>
          </w:tcPr>
          <w:p>
            <w:r/>
            <w:r>
              <w:rPr>
                <w:rFonts w:ascii="Verdana" w:hAnsi="Verdana"/>
                <w:b w:val="0"/>
                <w:sz w:val="16"/>
              </w:rPr>
              <w:t>Note 16: La identificación de la hora se refiere al comienzo del período de un mes.</w:t>
            </w:r>
          </w:p>
        </w:tc>
      </w:tr>
      <w:tr>
        <w:trPr>
          <w:cantSplit/>
        </w:trPr>
        <w:tc>
          <w:tcPr>
            <w:tcW w:type="dxa" w:w="1514"/>
          </w:tcPr>
          <w:p>
            <w:r/>
            <w:r>
              <w:rPr>
                <w:rFonts w:ascii="Verdana" w:hAnsi="Verdana"/>
                <w:b w:val="0"/>
                <w:sz w:val="16"/>
              </w:rPr>
              <w:t>015083</w:t>
            </w:r>
          </w:p>
        </w:tc>
        <w:tc>
          <w:tcPr>
            <w:tcW w:type="dxa" w:w="1514"/>
          </w:tcPr>
          <w:p>
            <w:r/>
            <w:r>
              <w:rPr>
                <w:rFonts w:ascii="Verdana" w:hAnsi="Verdana"/>
                <w:b w:val="0"/>
                <w:sz w:val="16"/>
              </w:rPr>
              <w:t>Gradiente en atmósfera neutra estimado a través del GNSS</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-8192</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5</w:t>
            </w:r>
          </w:p>
        </w:tc>
        <w:tc>
          <w:tcPr>
            <w:tcW w:type="dxa" w:w="1514"/>
          </w:tcPr>
          <w:p>
            <w:r/>
            <w:r>
              <w:rPr>
                <w:rFonts w:ascii="Verdana" w:hAnsi="Verdana"/>
                <w:b w:val="0"/>
                <w:sz w:val="16"/>
              </w:rPr>
              <w:t>9</w:t>
            </w:r>
          </w:p>
        </w:tc>
        <w:tc>
          <w:tcPr>
            <w:tcW w:type="dxa" w:w="1514"/>
          </w:tcPr>
          <w:p>
            <w:r/>
            <w:r>
              <w:rPr>
                <w:rFonts w:ascii="Verdana" w:hAnsi="Verdana"/>
                <w:b w:val="0"/>
                <w:sz w:val="16"/>
              </w:rPr>
              <w:t>Note 7: Los mensajes BUFR compuestos pueden describirse dentro de la Sección de descripción de datos, según corresponda (por ejemplo: 3 01 041, 3 04 001, 3 04 002, 3 04 003, 3 04 004, 3 04 005, 3 04 006).</w:t>
            </w:r>
          </w:p>
        </w:tc>
      </w:tr>
      <w:tr>
        <w:trPr>
          <w:cantSplit/>
        </w:trPr>
        <w:tc>
          <w:tcPr>
            <w:tcW w:type="dxa" w:w="1514"/>
          </w:tcPr>
          <w:p>
            <w:r/>
            <w:r>
              <w:rPr>
                <w:rFonts w:ascii="Verdana" w:hAnsi="Verdana"/>
                <w:b w:val="0"/>
                <w:sz w:val="16"/>
              </w:rPr>
              <w:t>015084</w:t>
            </w:r>
          </w:p>
        </w:tc>
        <w:tc>
          <w:tcPr>
            <w:tcW w:type="dxa" w:w="1514"/>
          </w:tcPr>
          <w:p>
            <w:r/>
            <w:r>
              <w:rPr>
                <w:rFonts w:ascii="Verdana" w:hAnsi="Verdana"/>
                <w:b w:val="0"/>
                <w:sz w:val="16"/>
              </w:rPr>
              <w:t>Residuos de mínimos cuadrados en el GNSS</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9</w:t>
            </w:r>
          </w:p>
        </w:tc>
        <w:tc>
          <w:tcPr>
            <w:tcW w:type="dxa" w:w="1514"/>
          </w:tcPr>
          <w:p>
            <w:r/>
            <w:r>
              <w:rPr>
                <w:rFonts w:ascii="Verdana" w:hAnsi="Verdana"/>
                <w:b w:val="0"/>
                <w:sz w:val="16"/>
              </w:rPr>
              <w:t>Note 17: En cada posición de los sensores de la carretera se mide: – la temperatura de la superficie de la carretera; – la temperatura de la subsuperficie de la carretera; – el espesor de la lámina de agua; – la condición de la superficie de la carretera.</w:t>
            </w:r>
          </w:p>
        </w:tc>
      </w:tr>
      <w:tr>
        <w:trPr>
          <w:cantSplit/>
        </w:trPr>
        <w:tc>
          <w:tcPr>
            <w:tcW w:type="dxa" w:w="1514"/>
          </w:tcPr>
          <w:p>
            <w:r/>
            <w:r>
              <w:rPr>
                <w:rFonts w:ascii="Verdana" w:hAnsi="Verdana"/>
                <w:b w:val="0"/>
                <w:sz w:val="16"/>
              </w:rPr>
              <w:t>015085</w:t>
            </w:r>
          </w:p>
        </w:tc>
        <w:tc>
          <w:tcPr>
            <w:tcW w:type="dxa" w:w="1514"/>
          </w:tcPr>
          <w:p>
            <w:r/>
            <w:r>
              <w:rPr>
                <w:rFonts w:ascii="Verdana" w:hAnsi="Verdana"/>
                <w:b w:val="0"/>
                <w:sz w:val="16"/>
              </w:rPr>
              <w:t>Retraso por efectos multitrayecto en el GNSS</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14</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9</w:t>
            </w:r>
          </w:p>
        </w:tc>
        <w:tc>
          <w:tcPr>
            <w:tcW w:type="dxa" w:w="1514"/>
          </w:tcPr>
          <w:p>
            <w:r/>
            <w:r>
              <w:rPr>
                <w:rFonts w:ascii="Verdana" w:hAnsi="Verdana"/>
                <w:b w:val="0"/>
                <w:sz w:val="16"/>
              </w:rPr>
              <w:t>Note 8: Los datos representados por esta secuencia deben ordenarse en orden descendiente respecto de la presión.</w:t>
            </w:r>
          </w:p>
        </w:tc>
      </w:tr>
      <w:tr>
        <w:trPr>
          <w:cantSplit/>
        </w:trPr>
        <w:tc>
          <w:tcPr>
            <w:tcW w:type="dxa" w:w="1514"/>
          </w:tcPr>
          <w:p>
            <w:r/>
            <w:r>
              <w:rPr>
                <w:rFonts w:ascii="Verdana" w:hAnsi="Verdana"/>
                <w:b w:val="0"/>
                <w:sz w:val="16"/>
              </w:rPr>
              <w:t>015086</w:t>
            </w:r>
          </w:p>
        </w:tc>
        <w:tc>
          <w:tcPr>
            <w:tcW w:type="dxa" w:w="1514"/>
          </w:tcPr>
          <w:p>
            <w:r/>
            <w:r>
              <w:rPr>
                <w:rFonts w:ascii="Verdana" w:hAnsi="Verdana"/>
                <w:b w:val="0"/>
                <w:sz w:val="16"/>
              </w:rPr>
              <w:t>Función de mapeo hidrostático del GNSS</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10</w:t>
            </w:r>
          </w:p>
        </w:tc>
        <w:tc>
          <w:tcPr>
            <w:tcW w:type="dxa" w:w="1514"/>
          </w:tcPr>
          <w:p>
            <w:r/>
            <w:r>
              <w:rPr>
                <w:rFonts w:ascii="Verdana" w:hAnsi="Verdana"/>
                <w:b w:val="0"/>
                <w:sz w:val="16"/>
              </w:rPr>
              <w:t>Note 22: Espectros direccionales completos (Ib = 1 en WAVEOB con más de una dirección por banda de número de onda). El conteo de repeticiones es el número de direcciones por banda de número de onda que debería abarcar normalmente todo el círculo.</w:t>
            </w:r>
          </w:p>
        </w:tc>
      </w:tr>
      <w:tr>
        <w:trPr>
          <w:cantSplit/>
        </w:trPr>
        <w:tc>
          <w:tcPr>
            <w:tcW w:type="dxa" w:w="1514"/>
          </w:tcPr>
          <w:p>
            <w:r/>
            <w:r>
              <w:rPr>
                <w:rFonts w:ascii="Verdana" w:hAnsi="Verdana"/>
                <w:b w:val="0"/>
                <w:sz w:val="16"/>
              </w:rPr>
              <w:t>015087</w:t>
            </w:r>
          </w:p>
        </w:tc>
        <w:tc>
          <w:tcPr>
            <w:tcW w:type="dxa" w:w="1514"/>
          </w:tcPr>
          <w:p>
            <w:r/>
            <w:r>
              <w:rPr>
                <w:rFonts w:ascii="Verdana" w:hAnsi="Verdana"/>
                <w:b w:val="0"/>
                <w:sz w:val="16"/>
              </w:rPr>
              <w:t>Función de mapeo húmedo del GNSS</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10</w:t>
            </w:r>
          </w:p>
        </w:tc>
        <w:tc>
          <w:tcPr>
            <w:tcW w:type="dxa" w:w="1514"/>
          </w:tcPr>
          <w:p>
            <w:r/>
            <w:r>
              <w:rPr>
                <w:rFonts w:ascii="Verdana" w:hAnsi="Verdana"/>
                <w:b w:val="0"/>
                <w:sz w:val="16"/>
              </w:rPr>
              <w:t>Note 22: Espectros direccionales completos (Ib = 1 en WAVEOB con más de una dirección por banda de número de onda). El conteo de repeticiones es el número de direcciones por banda de número de onda que debería abarcar normalmente todo el círculo.</w:t>
            </w:r>
          </w:p>
        </w:tc>
      </w:tr>
      <w:tr>
        <w:trPr>
          <w:cantSplit/>
        </w:trPr>
        <w:tc>
          <w:tcPr>
            <w:tcW w:type="dxa" w:w="1514"/>
          </w:tcPr>
          <w:p>
            <w:r/>
            <w:r>
              <w:rPr>
                <w:rFonts w:ascii="Verdana" w:hAnsi="Verdana"/>
                <w:b w:val="0"/>
                <w:sz w:val="16"/>
              </w:rPr>
              <w:t>015088</w:t>
            </w:r>
          </w:p>
        </w:tc>
        <w:tc>
          <w:tcPr>
            <w:tcW w:type="dxa" w:w="1514"/>
          </w:tcPr>
          <w:p>
            <w:r/>
            <w:r>
              <w:rPr>
                <w:rFonts w:ascii="Verdana" w:hAnsi="Verdana"/>
                <w:b w:val="0"/>
                <w:sz w:val="16"/>
              </w:rPr>
              <w:t>Función de mapeo de gradiente del GNSS</w:t>
            </w:r>
          </w:p>
        </w:tc>
        <w:tc>
          <w:tcPr>
            <w:tcW w:type="dxa" w:w="1514"/>
          </w:tcPr>
          <w:p>
            <w:r/>
            <w:r>
              <w:rPr>
                <w:rFonts w:ascii="Verdana" w:hAnsi="Verdana"/>
                <w:b w:val="0"/>
                <w:sz w:val="16"/>
              </w:rPr>
              <w:t>m</w:t>
            </w:r>
          </w:p>
        </w:tc>
        <w:tc>
          <w:tcPr>
            <w:tcW w:type="dxa" w:w="1514"/>
          </w:tcPr>
          <w:p>
            <w:r/>
            <w:r>
              <w:rPr>
                <w:rFonts w:ascii="Verdana" w:hAnsi="Verdana"/>
                <w:b w:val="0"/>
                <w:sz w:val="16"/>
              </w:rPr>
              <w:t>3</w:t>
            </w:r>
          </w:p>
        </w:tc>
        <w:tc>
          <w:tcPr>
            <w:tcW w:type="dxa" w:w="1514"/>
          </w:tcPr>
          <w:p>
            <w:r/>
            <w:r>
              <w:rPr>
                <w:rFonts w:ascii="Verdana" w:hAnsi="Verdana"/>
                <w:b w:val="0"/>
                <w:sz w:val="16"/>
              </w:rPr>
              <w:t>0</w:t>
            </w:r>
          </w:p>
        </w:tc>
        <w:tc>
          <w:tcPr>
            <w:tcW w:type="dxa" w:w="1514"/>
          </w:tcPr>
          <w:p>
            <w:r/>
            <w:r>
              <w:rPr>
                <w:rFonts w:ascii="Verdana" w:hAnsi="Verdana"/>
                <w:b w:val="0"/>
                <w:sz w:val="16"/>
              </w:rPr>
              <w:t>16</w:t>
            </w:r>
          </w:p>
        </w:tc>
        <w:tc>
          <w:tcPr>
            <w:tcW w:type="dxa" w:w="1514"/>
          </w:tcPr>
          <w:p>
            <w:r/>
            <w:r>
              <w:rPr>
                <w:rFonts w:ascii="Verdana" w:hAnsi="Verdana"/>
                <w:b w:val="0"/>
                <w:sz w:val="16"/>
              </w:rPr>
              <w:t>Numérica</w:t>
            </w:r>
          </w:p>
        </w:tc>
        <w:tc>
          <w:tcPr>
            <w:tcW w:type="dxa" w:w="1514"/>
          </w:tcPr>
          <w:p>
            <w:r/>
            <w:r>
              <w:rPr>
                <w:rFonts w:ascii="Verdana" w:hAnsi="Verdana"/>
                <w:b w:val="0"/>
                <w:sz w:val="16"/>
              </w:rPr>
              <w:t>3</w:t>
            </w:r>
          </w:p>
        </w:tc>
        <w:tc>
          <w:tcPr>
            <w:tcW w:type="dxa" w:w="1514"/>
          </w:tcPr>
          <w:p>
            <w:r/>
            <w:r>
              <w:rPr>
                <w:rFonts w:ascii="Verdana" w:hAnsi="Verdana"/>
                <w:b w:val="0"/>
                <w:sz w:val="16"/>
              </w:rPr>
              <w:t>10</w:t>
            </w:r>
          </w:p>
        </w:tc>
        <w:tc>
          <w:tcPr>
            <w:tcW w:type="dxa" w:w="1514"/>
          </w:tcPr>
          <w:p>
            <w:r/>
            <w:r>
              <w:rPr>
                <w:rFonts w:ascii="Verdana" w:hAnsi="Verdana"/>
                <w:b w:val="0"/>
                <w:sz w:val="16"/>
              </w:rPr>
              <w:t>Note 22: Espectros direccionales completos (Ib = 1 en WAVEOB con más de una dirección por banda de número de onda). El conteo de repeticiones es el número de direcciones por banda de número de onda que debería abarcar normalmente todo el círculo.</w:t>
            </w:r>
          </w:p>
        </w:tc>
      </w:tr>
      <w:tr>
        <w:trPr>
          <w:cantSplit/>
        </w:trPr>
        <w:tc>
          <w:tcPr>
            <w:tcW w:type="dxa" w:w="1514"/>
          </w:tcPr>
          <w:p>
            <w:r/>
            <w:r>
              <w:rPr>
                <w:rFonts w:ascii="Verdana" w:hAnsi="Verdana"/>
                <w:b w:val="0"/>
                <w:sz w:val="16"/>
              </w:rPr>
              <w:t>015089</w:t>
            </w:r>
          </w:p>
        </w:tc>
        <w:tc>
          <w:tcPr>
            <w:tcW w:type="dxa" w:w="1514"/>
          </w:tcPr>
          <w:p>
            <w:r/>
            <w:r>
              <w:rPr>
                <w:rFonts w:ascii="Verdana" w:hAnsi="Verdana"/>
                <w:b w:val="0"/>
                <w:sz w:val="16"/>
              </w:rPr>
              <w:t>Retraso del trayecto cenital debido a una atmósfera hidrostática neutra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15</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9</w:t>
            </w:r>
          </w:p>
        </w:tc>
        <w:tc>
          <w:tcPr>
            <w:tcW w:type="dxa" w:w="1514"/>
          </w:tcPr>
          <w:p>
            <w:r/>
            <w:r>
              <w:rPr>
                <w:rFonts w:ascii="Verdana" w:hAnsi="Verdana"/>
                <w:b w:val="0"/>
                <w:sz w:val="16"/>
              </w:rPr>
              <w:t>Note 18: Ningún descriptor de operadores se reserva para uso local.</w:t>
            </w:r>
          </w:p>
        </w:tc>
      </w:tr>
      <w:tr>
        <w:trPr>
          <w:cantSplit/>
        </w:trPr>
        <w:tc>
          <w:tcPr>
            <w:tcW w:type="dxa" w:w="1514"/>
          </w:tcPr>
          <w:p>
            <w:r/>
            <w:r>
              <w:rPr>
                <w:rFonts w:ascii="Verdana" w:hAnsi="Verdana"/>
                <w:b w:val="0"/>
                <w:sz w:val="16"/>
              </w:rPr>
              <w:t>015090</w:t>
            </w:r>
          </w:p>
        </w:tc>
        <w:tc>
          <w:tcPr>
            <w:tcW w:type="dxa" w:w="1514"/>
          </w:tcPr>
          <w:p>
            <w:r/>
            <w:r>
              <w:rPr>
                <w:rFonts w:ascii="Verdana" w:hAnsi="Verdana"/>
                <w:b w:val="0"/>
                <w:sz w:val="16"/>
              </w:rPr>
              <w:t>Retraso del trayecto debido a una atmósfera hidrostática neutra</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0</w:t>
            </w:r>
          </w:p>
        </w:tc>
        <w:tc>
          <w:tcPr>
            <w:tcW w:type="dxa" w:w="1514"/>
          </w:tcPr>
          <w:p>
            <w:r/>
            <w:r>
              <w:rPr>
                <w:rFonts w:ascii="Verdana" w:hAnsi="Verdana"/>
                <w:b w:val="0"/>
                <w:sz w:val="16"/>
              </w:rPr>
              <w:t>20</w:t>
            </w:r>
          </w:p>
        </w:tc>
        <w:tc>
          <w:tcPr>
            <w:tcW w:type="dxa" w:w="1514"/>
          </w:tcPr>
          <w:p>
            <w:r/>
            <w:r>
              <w:rPr>
                <w:rFonts w:ascii="Verdana" w:hAnsi="Verdana"/>
                <w:b w:val="0"/>
                <w:sz w:val="16"/>
              </w:rPr>
              <w:t>m</w:t>
            </w:r>
          </w:p>
        </w:tc>
        <w:tc>
          <w:tcPr>
            <w:tcW w:type="dxa" w:w="1514"/>
          </w:tcPr>
          <w:p>
            <w:r/>
            <w:r>
              <w:rPr>
                <w:rFonts w:ascii="Verdana" w:hAnsi="Verdana"/>
                <w:b w:val="0"/>
                <w:sz w:val="16"/>
              </w:rPr>
              <w:t>4</w:t>
            </w:r>
          </w:p>
        </w:tc>
        <w:tc>
          <w:tcPr>
            <w:tcW w:type="dxa" w:w="1514"/>
          </w:tcPr>
          <w:p>
            <w:r/>
            <w:r>
              <w:rPr>
                <w:rFonts w:ascii="Verdana" w:hAnsi="Verdana"/>
                <w:b w:val="0"/>
                <w:sz w:val="16"/>
              </w:rPr>
              <w:t>11</w:t>
            </w:r>
          </w:p>
        </w:tc>
        <w:tc>
          <w:tcPr>
            <w:tcW w:type="dxa" w:w="1514"/>
          </w:tcPr>
          <w:p>
            <w:r/>
            <w:r>
              <w:rPr>
                <w:rFonts w:ascii="Verdana" w:hAnsi="Verdana"/>
                <w:b w:val="0"/>
                <w:sz w:val="16"/>
              </w:rPr>
              <w:t>Note 19: Un suceso, como se define para su uso con los operadores 2 41 000 y 2 42 000, es una serie de una o más circunstancias descrita usando descriptores de la Tabla B adecuados junto con sus correspondientes valores de datos. El agrupamiento de tales descriptores en conjunto considerados como un solo “suceso” les permite ser asignados colectivamente como el objetivo de un descriptor separado como el 0 33 045 o el 0 33 046. Cuando define una circunstancia dentro de un suceso, el descriptor 0 33 042 puede emplearse precediendo al descriptor adecuado de la Tabla B para indicar que el valor correspondiente es en realidad el límite de una gama de valores.</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