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23: Dispersión y transporte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Artículos aplicables a la notificación rápida de un accidente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Actividad o instalación relacionada con el incidente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emisión de sustancias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Contramedidas tomadas cerca de la frontera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Causa del incidente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Situación luego del incidente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Características de la emisión de sustancias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Emisión de sustancias: estado actual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Emisión de sustancias: estado previsto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Riesgo de una importante intoxicación de origen químico que afecte a la salud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Caudal de la principal masa de agua receptora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m³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m³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Evolución de la emisión de sustancias con el paso del tiempo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real de la emisión de sustancias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efectiva de la emisión de sustancias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Distancia del punto de emisión de sustancias al sitio del incidente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transporte principal en la atmósfera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transporte principal en el agua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transporte principal en el agua subterránea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transporte principal en la atmósfera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transporte principal en el agua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transporte principal en el agua subterránea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Riesgo de que la columna radiactiva encuentre precipitaciones en el país en que ha ocurrido el incidente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Posibilidad de que la columna radiactiva sea afectada por un cambio en la dirección y/o en la velocidad del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Caudal – río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m³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m³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Caudal – pozo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m³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m³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