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27: Ubicación sin coordenadas (horizontal –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alterna (exactitud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132: Se puede utilizar la latitud alterna cuando el cálculo de la posición nos da varias soluciones y a priori no hay modo de distinguir entre ellas.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alterna (gran exactitud)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132: Se puede utilizar la latitud alterna cuando el cálculo de la posición nos da varias soluciones y a priori no hay modo de distinguir entre ellas.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Eje de huella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Contador de la ubicación de los satélites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143: El contador de ubicación de los satélites se calcula como sigue: = número de superbanda x 1 000 + número de casilla x 10 + número de minicasilla.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Dimensión de sububicación de los satélites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144: La dimensión de la sububicación de los satélites se calcula como sigue: dimensión = dimensión de minicasilla + dimensión de casilla donde: dimensión de minicasilla = líneas x 1000 + puntos x 100 dimensión de casilla = líneas x 10 + puntos. I.2 – BUFR/CREX Tabla B/27 – 1 (Clase 27 – continuación)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de 0 grados de longitud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96: Para el descriptor 0 27 031 se han escogido ejes x, y y z negativos. I.2 – BUFR/CREX Tabla B/27 – 2 | Note 151: El valor para el descriptor 0 27 031 ha sido escogido para adecuarse a satélites en órbita polar en órbitas aproximadamente heliosincrónicas. Las órbitas geoestacionarias requerirían una anchura de datos mayor para la distancia y ligeramente menor para la velocidad.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horizontal del volumen de muestra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visión azimutal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