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35: Información sobre el control de datos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clave FM y regional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Plazo de tiempo para el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informes efectivamente recibidos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Boletín sometido a control (TTAAii)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Boletín sometido a control (YYGGgg)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Boletín sometido a control (CCCC)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Boletín sometido a control (BBB)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Discrepancias en cuanto a la disponibilidad de datos esperados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de los resultados del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Causa de los datos faltantes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Deficiencias de observación y recopilación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Tendencias estadísticas de la disponibilidad de datos (durante el (los) período(s) examinado(s)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Motivo de la terminación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