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Classe 10</w:t>
      </w:r>
    </w:p>
    <w:p>
      <w:r>
        <w:rPr>
          <w:rFonts w:ascii="Verdana" w:hAnsi="Verdana"/>
          <w:b/>
          <w:sz w:val="18"/>
        </w:rPr>
        <w:t>010063  Caractéristique de la tendance barométrique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378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378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SOUS 1</w:t>
            </w:r>
          </w:p>
        </w:tc>
        <w:tc>
          <w:tcPr>
            <w:tcW w:type="dxa" w:w="378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En hausse, puis en baisse; la pression atmosphérique est la même ou plus haute que trois heures auparavant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En hausse, puis stationnaire; ou en hausse, puis en hausse plus lente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La pression atmosphérique est plus haute que trois heures auparavant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En hausse (régulière ou irrégulière)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La pression atmosphérique est plus haute que trois heures auparavant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En baisse ou stationnaire, puis en hausse; ou en hausse, puis en hausse plus rapide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La pression atmosphérique est plus haute que trois heures auparavant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Stationnaire; la pression atmosphérique est la même que trois heures auparavant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En baisse, puis en hausse; la pression atmosphérique est la même ou plus basse que trois heures auparavant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En baisse, puis stationnaire; ou en baisse, puis en baisse plus lente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La pression atmosphérique est plus basse que trois heures auparavant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En baisse (régulière ou irrégulière)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La pression atmosphérique est plus basse que trois heures auparavant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Stationnaire ou en hausse, puis en baisse; ou en baisse, puis en baisse plus rapide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La pression atmosphérique est plus basse que trois heures auparavant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9-14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010064  Niveau de croisière - SIGMET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Subsonique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Transsonique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Supersonique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3-6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