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13</w:t>
      </w:r>
    </w:p>
    <w:p>
      <w:r>
        <w:rPr>
          <w:rFonts w:ascii="Verdana" w:hAnsi="Verdana"/>
          <w:b/>
          <w:sz w:val="18"/>
        </w:rPr>
        <w:t>013038  Indicateur superadiabatique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 superadiabatique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Superadiabatique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013039  Type de terrain (glace/neige)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Glaces de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 sur le sol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013040  Indicateur de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Terre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Proximité des côtes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Possibilité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Océan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Côte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Eaux intérieures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56: Les eaux interieures comprennent les rivieres, les lacs, les zones humides et les marecages.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Enneigement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Glaces de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Eau stagnante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013041  Catégorie de stabilité de Pasquill-Gifford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 -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 -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013051  Groupe de fréquence,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Inférieur à toute valeur enregistrée au cours de la période de 30 ans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 premier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 deuxième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 troisième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 quatrième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Dans le cinquième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Supérieur à toute valeur enregistrée au cours de la période de 30 ans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013056  Caractère et intensité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précipitations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faibles intermittentes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modérées intermittentes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Fortes précipitations intermittentes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Très fortes précipitations intermittentes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faibles continues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modérées continues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Fortes précipitations continues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Très fortes précipitations continues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d'intensité variable - alternativement faible et forte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013057  Heure du début ou de la fin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précipitations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 cours de l'heure écoulée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à 2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à 3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à 4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à 5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à 6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à 8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à 10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10 heures auparavant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