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01 : Identification BUFR/CREX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001001</w:t>
            </w:r>
          </w:p>
        </w:tc>
        <w:tc>
          <w:tcPr>
            <w:tcW w:type="dxa" w:w="1514"/>
          </w:tcPr>
          <w:p>
            <w:r/>
            <w:r>
              <w:rPr>
                <w:rFonts w:ascii="Verdana" w:hAnsi="Verdana"/>
                <w:b w:val="0"/>
                <w:sz w:val="16"/>
              </w:rPr>
              <w:t>Indicateur régional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001002</w:t>
            </w:r>
          </w:p>
        </w:tc>
        <w:tc>
          <w:tcPr>
            <w:tcW w:type="dxa" w:w="1514"/>
          </w:tcPr>
          <w:p>
            <w:r/>
            <w:r>
              <w:rPr>
                <w:rFonts w:ascii="Verdana" w:hAnsi="Verdana"/>
                <w:b w:val="0"/>
                <w:sz w:val="16"/>
              </w:rPr>
              <w:t>Chiffre indicatif OMM de la station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001003</w:t>
            </w:r>
          </w:p>
        </w:tc>
        <w:tc>
          <w:tcPr>
            <w:tcW w:type="dxa" w:w="1514"/>
          </w:tcPr>
          <w:p>
            <w:r/>
            <w:r>
              <w:rPr>
                <w:rFonts w:ascii="Verdana" w:hAnsi="Verdana"/>
                <w:b w:val="0"/>
                <w:sz w:val="16"/>
              </w:rPr>
              <w:t>Région OMM/zone géographique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001004</w:t>
            </w:r>
          </w:p>
        </w:tc>
        <w:tc>
          <w:tcPr>
            <w:tcW w:type="dxa" w:w="1514"/>
          </w:tcPr>
          <w:p>
            <w:r/>
            <w:r>
              <w:rPr>
                <w:rFonts w:ascii="Verdana" w:hAnsi="Verdana"/>
                <w:b w:val="0"/>
                <w:sz w:val="16"/>
              </w:rPr>
              <w:t>Sous-région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tc>
      </w:tr>
      <w:tr>
        <w:trPr>
          <w:cantSplit/>
        </w:trPr>
        <w:tc>
          <w:tcPr>
            <w:tcW w:type="dxa" w:w="1514"/>
          </w:tcPr>
          <w:p>
            <w:r/>
            <w:r>
              <w:rPr>
                <w:rFonts w:ascii="Verdana" w:hAnsi="Verdana"/>
                <w:b w:val="0"/>
                <w:sz w:val="16"/>
              </w:rPr>
              <w:t>001005</w:t>
            </w:r>
          </w:p>
        </w:tc>
        <w:tc>
          <w:tcPr>
            <w:tcW w:type="dxa" w:w="1514"/>
          </w:tcPr>
          <w:p>
            <w:r/>
            <w:r>
              <w:rPr>
                <w:rFonts w:ascii="Verdana" w:hAnsi="Verdana"/>
                <w:b w:val="0"/>
                <w:sz w:val="16"/>
              </w:rPr>
              <w:t>Indicateur d'identification de la bouée ou de la plate-forme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001006</w:t>
            </w:r>
          </w:p>
        </w:tc>
        <w:tc>
          <w:tcPr>
            <w:tcW w:type="dxa" w:w="1514"/>
          </w:tcPr>
          <w:p>
            <w:r/>
            <w:r>
              <w:rPr>
                <w:rFonts w:ascii="Verdana" w:hAnsi="Verdana"/>
                <w:b w:val="0"/>
                <w:sz w:val="16"/>
              </w:rPr>
              <w:t>Numéro de vol de l'aéronef</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001007</w:t>
            </w:r>
          </w:p>
        </w:tc>
        <w:tc>
          <w:tcPr>
            <w:tcW w:type="dxa" w:w="1514"/>
          </w:tcPr>
          <w:p>
            <w:r/>
            <w:r>
              <w:rPr>
                <w:rFonts w:ascii="Verdana" w:hAnsi="Verdana"/>
                <w:b w:val="0"/>
                <w:sz w:val="16"/>
              </w:rPr>
              <w:t>Indicateur d'identification du satellite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001008</w:t>
            </w:r>
          </w:p>
        </w:tc>
        <w:tc>
          <w:tcPr>
            <w:tcW w:type="dxa" w:w="1514"/>
          </w:tcPr>
          <w:p>
            <w:r/>
            <w:r>
              <w:rPr>
                <w:rFonts w:ascii="Verdana" w:hAnsi="Verdana"/>
                <w:b w:val="0"/>
                <w:sz w:val="16"/>
              </w:rPr>
              <w:t>Numéro d'immatriculation de l'aéronef ou autre 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001009</w:t>
            </w:r>
          </w:p>
        </w:tc>
        <w:tc>
          <w:tcPr>
            <w:tcW w:type="dxa" w:w="1514"/>
          </w:tcPr>
          <w:p>
            <w:r/>
            <w:r>
              <w:rPr>
                <w:rFonts w:ascii="Verdana" w:hAnsi="Verdana"/>
                <w:b w:val="0"/>
                <w:sz w:val="16"/>
              </w:rPr>
              <w:t>Type d'aéronef commercial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001010</w:t>
            </w:r>
          </w:p>
        </w:tc>
        <w:tc>
          <w:tcPr>
            <w:tcW w:type="dxa" w:w="1514"/>
          </w:tcPr>
          <w:p>
            <w:r/>
            <w:r>
              <w:rPr>
                <w:rFonts w:ascii="Verdana" w:hAnsi="Verdana"/>
                <w:b w:val="0"/>
                <w:sz w:val="16"/>
              </w:rPr>
              <w:t>Indicateur d'identification de la bouée ou de la plate-forme fixe; par exemple, bouée C-MAN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001011</w:t>
            </w:r>
          </w:p>
        </w:tc>
        <w:tc>
          <w:tcPr>
            <w:tcW w:type="dxa" w:w="1514"/>
          </w:tcPr>
          <w:p>
            <w:r/>
            <w:r>
              <w:rPr>
                <w:rFonts w:ascii="Verdana" w:hAnsi="Verdana"/>
                <w:b w:val="0"/>
                <w:sz w:val="16"/>
              </w:rPr>
              <w:t>Indicateur d'identification du navire ou d'une station terrestre mobile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001012</w:t>
            </w:r>
          </w:p>
        </w:tc>
        <w:tc>
          <w:tcPr>
            <w:tcW w:type="dxa" w:w="1514"/>
          </w:tcPr>
          <w:p>
            <w:r/>
            <w:r>
              <w:rPr>
                <w:rFonts w:ascii="Verdana" w:hAnsi="Verdana"/>
                <w:b w:val="0"/>
                <w:sz w:val="16"/>
              </w:rPr>
              <w:t>Direction de déplacement de la plate-forme d'observation mobile</w:t>
            </w:r>
          </w:p>
        </w:tc>
        <w:tc>
          <w:tcPr>
            <w:tcW w:type="dxa" w:w="1514"/>
          </w:tcPr>
          <w:p>
            <w:r/>
            <w:r>
              <w:rPr>
                <w:rFonts w:ascii="Verdana" w:hAnsi="Verdana"/>
                <w:b w:val="0"/>
                <w:sz w:val="16"/>
              </w:rPr>
              <w:t>degré vrai</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degré vrai</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Aucun des chiffres du code n’exclut la possibilité, laissée à la discrétion du centre de production, d’ajouter des niveaux obtenus par interpolation.</w:t>
            </w:r>
          </w:p>
        </w:tc>
      </w:tr>
      <w:tr>
        <w:trPr>
          <w:cantSplit/>
        </w:trPr>
        <w:tc>
          <w:tcPr>
            <w:tcW w:type="dxa" w:w="1514"/>
          </w:tcPr>
          <w:p>
            <w:r/>
            <w:r>
              <w:rPr>
                <w:rFonts w:ascii="Verdana" w:hAnsi="Verdana"/>
                <w:b w:val="0"/>
                <w:sz w:val="16"/>
              </w:rPr>
              <w:t>001013</w:t>
            </w:r>
          </w:p>
        </w:tc>
        <w:tc>
          <w:tcPr>
            <w:tcW w:type="dxa" w:w="1514"/>
          </w:tcPr>
          <w:p>
            <w:r/>
            <w:r>
              <w:rPr>
                <w:rFonts w:ascii="Verdana" w:hAnsi="Verdana"/>
                <w:b w:val="0"/>
                <w:sz w:val="16"/>
              </w:rPr>
              <w:t>Vitesse de déplacement de la plate-forme d'observation mobile</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60: Aucun des chiffres du code n’exclut la possibilité, laissée à la discrétion du centre de production, d’ajouter des niveaux obtenus par interpolation.</w:t>
            </w:r>
          </w:p>
        </w:tc>
      </w:tr>
      <w:tr>
        <w:trPr>
          <w:cantSplit/>
        </w:trPr>
        <w:tc>
          <w:tcPr>
            <w:tcW w:type="dxa" w:w="1514"/>
          </w:tcPr>
          <w:p>
            <w:r/>
            <w:r>
              <w:rPr>
                <w:rFonts w:ascii="Verdana" w:hAnsi="Verdana"/>
                <w:b w:val="0"/>
                <w:sz w:val="16"/>
              </w:rPr>
              <w:t>001014</w:t>
            </w:r>
          </w:p>
        </w:tc>
        <w:tc>
          <w:tcPr>
            <w:tcW w:type="dxa" w:w="1514"/>
          </w:tcPr>
          <w:p>
            <w:r/>
            <w:r>
              <w:rPr>
                <w:rFonts w:ascii="Verdana" w:hAnsi="Verdana"/>
                <w:b w:val="0"/>
                <w:sz w:val="16"/>
              </w:rPr>
              <w:t>Vitesse de dérive de la plate-forme (précision élevée)</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001015</w:t>
            </w:r>
          </w:p>
        </w:tc>
        <w:tc>
          <w:tcPr>
            <w:tcW w:type="dxa" w:w="1514"/>
          </w:tcPr>
          <w:p>
            <w:r/>
            <w:r>
              <w:rPr>
                <w:rFonts w:ascii="Verdana" w:hAnsi="Verdana"/>
                <w:b w:val="0"/>
                <w:sz w:val="16"/>
              </w:rPr>
              <w:t>Nom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001018</w:t>
            </w:r>
          </w:p>
        </w:tc>
        <w:tc>
          <w:tcPr>
            <w:tcW w:type="dxa" w:w="1514"/>
          </w:tcPr>
          <w:p>
            <w:r/>
            <w:r>
              <w:rPr>
                <w:rFonts w:ascii="Verdana" w:hAnsi="Verdana"/>
                <w:b w:val="0"/>
                <w:sz w:val="16"/>
              </w:rPr>
              <w:t>Nom abrégé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001019</w:t>
            </w:r>
          </w:p>
        </w:tc>
        <w:tc>
          <w:tcPr>
            <w:tcW w:type="dxa" w:w="1514"/>
          </w:tcPr>
          <w:p>
            <w:r/>
            <w:r>
              <w:rPr>
                <w:rFonts w:ascii="Verdana" w:hAnsi="Verdana"/>
                <w:b w:val="0"/>
                <w:sz w:val="16"/>
              </w:rPr>
              <w:t>Nom complet de la station ou du site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001020</w:t>
            </w:r>
          </w:p>
        </w:tc>
        <w:tc>
          <w:tcPr>
            <w:tcW w:type="dxa" w:w="1514"/>
          </w:tcPr>
          <w:p>
            <w:r/>
            <w:r>
              <w:rPr>
                <w:rFonts w:ascii="Verdana" w:hAnsi="Verdana"/>
                <w:b w:val="0"/>
                <w:sz w:val="16"/>
              </w:rPr>
              <w:t>Sous-région OMM</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001021</w:t>
            </w:r>
          </w:p>
        </w:tc>
        <w:tc>
          <w:tcPr>
            <w:tcW w:type="dxa" w:w="1514"/>
          </w:tcPr>
          <w:p>
            <w:r/>
            <w:r>
              <w:rPr>
                <w:rFonts w:ascii="Verdana" w:hAnsi="Verdana"/>
                <w:b w:val="0"/>
                <w:sz w:val="16"/>
              </w:rPr>
              <w:t>Indicateur d'identification de la caractéristique synoptique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001022</w:t>
            </w:r>
          </w:p>
        </w:tc>
        <w:tc>
          <w:tcPr>
            <w:tcW w:type="dxa" w:w="1514"/>
          </w:tcPr>
          <w:p>
            <w:r/>
            <w:r>
              <w:rPr>
                <w:rFonts w:ascii="Verdana" w:hAnsi="Verdana"/>
                <w:b w:val="0"/>
                <w:sz w:val="16"/>
              </w:rPr>
              <w:t>Nom de la caractéristique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28</w:t>
            </w:r>
          </w:p>
        </w:tc>
        <w:tc>
          <w:tcPr>
            <w:tcW w:type="dxa" w:w="1514"/>
          </w:tcPr>
          <w:p>
            <w:r/>
            <w:r>
              <w:rPr>
                <w:rFonts w:ascii="Verdana" w:hAnsi="Verdana"/>
                <w:b w:val="0"/>
                <w:sz w:val="16"/>
              </w:rPr>
              <w:t>Note 72: Mettre a 1 si le calcul de longueur d'onde du laser est incorrect en raison d'un courant de polarisation de la diode laser et/ou de mesures de la temperature de la diode laser se situant en dehors des limites prevues.</w:t>
            </w:r>
          </w:p>
        </w:tc>
      </w:tr>
      <w:tr>
        <w:trPr>
          <w:cantSplit/>
        </w:trPr>
        <w:tc>
          <w:tcPr>
            <w:tcW w:type="dxa" w:w="1514"/>
          </w:tcPr>
          <w:p>
            <w:r/>
            <w:r>
              <w:rPr>
                <w:rFonts w:ascii="Verdana" w:hAnsi="Verdana"/>
                <w:b w:val="0"/>
                <w:sz w:val="16"/>
              </w:rPr>
              <w:t>001023</w:t>
            </w:r>
          </w:p>
        </w:tc>
        <w:tc>
          <w:tcPr>
            <w:tcW w:type="dxa" w:w="1514"/>
          </w:tcPr>
          <w:p>
            <w:r/>
            <w:r>
              <w:rPr>
                <w:rFonts w:ascii="Verdana" w:hAnsi="Verdana"/>
                <w:b w:val="0"/>
                <w:sz w:val="16"/>
              </w:rPr>
              <w:t>Numéro de la séquence d'observations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001024</w:t>
            </w:r>
          </w:p>
        </w:tc>
        <w:tc>
          <w:tcPr>
            <w:tcW w:type="dxa" w:w="1514"/>
          </w:tcPr>
          <w:p>
            <w:r/>
            <w:r>
              <w:rPr>
                <w:rFonts w:ascii="Verdana" w:hAnsi="Verdana"/>
                <w:b w:val="0"/>
                <w:sz w:val="16"/>
              </w:rPr>
              <w:t>Source des données sur la vitesse du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001025</w:t>
            </w:r>
          </w:p>
        </w:tc>
        <w:tc>
          <w:tcPr>
            <w:tcW w:type="dxa" w:w="1514"/>
          </w:tcPr>
          <w:p>
            <w:r/>
            <w:r>
              <w:rPr>
                <w:rFonts w:ascii="Verdana" w:hAnsi="Verdana"/>
                <w:b w:val="0"/>
                <w:sz w:val="16"/>
              </w:rPr>
              <w:t>Indicateur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(voir Note 1)</w:t>
            </w:r>
          </w:p>
        </w:tc>
      </w:tr>
      <w:tr>
        <w:trPr>
          <w:cantSplit/>
        </w:trPr>
        <w:tc>
          <w:tcPr>
            <w:tcW w:type="dxa" w:w="1514"/>
          </w:tcPr>
          <w:p>
            <w:r/>
            <w:r>
              <w:rPr>
                <w:rFonts w:ascii="Verdana" w:hAnsi="Verdana"/>
                <w:b w:val="0"/>
                <w:sz w:val="16"/>
              </w:rPr>
              <w:t>001026</w:t>
            </w:r>
          </w:p>
        </w:tc>
        <w:tc>
          <w:tcPr>
            <w:tcW w:type="dxa" w:w="1514"/>
          </w:tcPr>
          <w:p>
            <w:r/>
            <w:r>
              <w:rPr>
                <w:rFonts w:ascii="Verdana" w:hAnsi="Verdana"/>
                <w:b w:val="0"/>
                <w:sz w:val="16"/>
              </w:rPr>
              <w:t>Nom OMM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rPr>
          <w:cantSplit/>
        </w:trPr>
        <w:tc>
          <w:tcPr>
            <w:tcW w:type="dxa" w:w="1514"/>
          </w:tcPr>
          <w:p>
            <w:r/>
            <w:r>
              <w:rPr>
                <w:rFonts w:ascii="Verdana" w:hAnsi="Verdana"/>
                <w:b w:val="0"/>
                <w:sz w:val="16"/>
              </w:rPr>
              <w:t>001027</w:t>
            </w:r>
          </w:p>
        </w:tc>
        <w:tc>
          <w:tcPr>
            <w:tcW w:type="dxa" w:w="1514"/>
          </w:tcPr>
          <w:p>
            <w:r/>
            <w:r>
              <w:rPr>
                <w:rFonts w:ascii="Verdana" w:hAnsi="Verdana"/>
                <w:b w:val="0"/>
                <w:sz w:val="16"/>
              </w:rPr>
              <w:t>Nom OMM complet de la tempête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001028</w:t>
            </w:r>
          </w:p>
        </w:tc>
        <w:tc>
          <w:tcPr>
            <w:tcW w:type="dxa" w:w="1514"/>
          </w:tcPr>
          <w:p>
            <w:r/>
            <w:r>
              <w:rPr>
                <w:rFonts w:ascii="Verdana" w:hAnsi="Verdana"/>
                <w:b w:val="0"/>
                <w:sz w:val="16"/>
              </w:rPr>
              <w:t>Source des données sur l'épaisseur optique des aérosols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001029</w:t>
            </w:r>
          </w:p>
        </w:tc>
        <w:tc>
          <w:tcPr>
            <w:tcW w:type="dxa" w:w="1514"/>
          </w:tcPr>
          <w:p>
            <w:r/>
            <w:r>
              <w:rPr>
                <w:rFonts w:ascii="Verdana" w:hAnsi="Verdana"/>
                <w:b w:val="0"/>
                <w:sz w:val="16"/>
              </w:rPr>
              <w:t>Source des données sur le flux radiatif solaire en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001030</w:t>
            </w:r>
          </w:p>
        </w:tc>
        <w:tc>
          <w:tcPr>
            <w:tcW w:type="dxa" w:w="1514"/>
          </w:tcPr>
          <w:p>
            <w:r/>
            <w:r>
              <w:rPr>
                <w:rFonts w:ascii="Verdana" w:hAnsi="Verdana"/>
                <w:b w:val="0"/>
                <w:sz w:val="16"/>
              </w:rPr>
              <w:t>Indicatif du modèle numérique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(voir Note 13)</w:t>
            </w:r>
          </w:p>
        </w:tc>
      </w:tr>
      <w:tr>
        <w:trPr>
          <w:cantSplit/>
        </w:trPr>
        <w:tc>
          <w:tcPr>
            <w:tcW w:type="dxa" w:w="1514"/>
          </w:tcPr>
          <w:p>
            <w:r/>
            <w:r>
              <w:rPr>
                <w:rFonts w:ascii="Verdana" w:hAnsi="Verdana"/>
                <w:b w:val="0"/>
                <w:sz w:val="16"/>
              </w:rPr>
              <w:t>001031</w:t>
            </w:r>
          </w:p>
        </w:tc>
        <w:tc>
          <w:tcPr>
            <w:tcW w:type="dxa" w:w="1514"/>
          </w:tcPr>
          <w:p>
            <w:r/>
            <w:r>
              <w:rPr>
                <w:rFonts w:ascii="Verdana" w:hAnsi="Verdana"/>
                <w:b w:val="0"/>
                <w:sz w:val="16"/>
              </w:rPr>
              <w:t>Identification du centre d'origine/de production</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44: Guide des instruments et des methodes d'observation meteorologiques</w:t>
            </w:r>
          </w:p>
        </w:tc>
      </w:tr>
      <w:tr>
        <w:trPr>
          <w:cantSplit/>
        </w:trPr>
        <w:tc>
          <w:tcPr>
            <w:tcW w:type="dxa" w:w="1514"/>
          </w:tcPr>
          <w:p>
            <w:r/>
            <w:r>
              <w:rPr>
                <w:rFonts w:ascii="Verdana" w:hAnsi="Verdana"/>
                <w:b w:val="0"/>
                <w:sz w:val="16"/>
              </w:rPr>
              <w:t>001032</w:t>
            </w:r>
          </w:p>
        </w:tc>
        <w:tc>
          <w:tcPr>
            <w:tcW w:type="dxa" w:w="1514"/>
          </w:tcPr>
          <w:p>
            <w:r/>
            <w:r>
              <w:rPr>
                <w:rFonts w:ascii="Verdana" w:hAnsi="Verdana"/>
                <w:b w:val="0"/>
                <w:sz w:val="16"/>
              </w:rPr>
              <w:t>Application de production</w:t>
            </w:r>
          </w:p>
        </w:tc>
        <w:tc>
          <w:tcPr>
            <w:tcW w:type="dxa" w:w="1514"/>
          </w:tcPr>
          <w:p>
            <w:r/>
            <w:r>
              <w:rPr>
                <w:rFonts w:ascii="Verdana" w:hAnsi="Verdana"/>
                <w:b w:val="0"/>
                <w:sz w:val="16"/>
              </w:rPr>
              <w:t>Table de code définie par le centre d'origine/ de production (notes 3, 4 et 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21: En commençant par la position du premier bit (bit de plus fort poids), si le bit est mis à 1, le canal est utilisé. Si le bit est mis à zéro, le canal n’est pas utilisé. | Note 38: Les entrees 1 et 2 ne doivent pas etre utilisees.</w:t>
            </w:r>
          </w:p>
        </w:tc>
      </w:tr>
      <w:tr>
        <w:trPr>
          <w:cantSplit/>
        </w:trPr>
        <w:tc>
          <w:tcPr>
            <w:tcW w:type="dxa" w:w="1514"/>
          </w:tcPr>
          <w:p>
            <w:r/>
            <w:r>
              <w:rPr>
                <w:rFonts w:ascii="Verdana" w:hAnsi="Verdana"/>
                <w:b w:val="0"/>
                <w:sz w:val="16"/>
              </w:rPr>
              <w:t>001033</w:t>
            </w:r>
          </w:p>
        </w:tc>
        <w:tc>
          <w:tcPr>
            <w:tcW w:type="dxa" w:w="1514"/>
          </w:tcPr>
          <w:p>
            <w:r/>
            <w:r>
              <w:rPr>
                <w:rFonts w:ascii="Verdana" w:hAnsi="Verdana"/>
                <w:b w:val="0"/>
                <w:sz w:val="16"/>
              </w:rPr>
              <w:t>Identification du centre d'origine/ de production</w:t>
            </w:r>
          </w:p>
        </w:tc>
        <w:tc>
          <w:tcPr>
            <w:tcW w:type="dxa" w:w="1514"/>
          </w:tcPr>
          <w:p>
            <w:r/>
            <w:r>
              <w:rPr>
                <w:rFonts w:ascii="Verdana" w:hAnsi="Verdana"/>
                <w:b w:val="0"/>
                <w:sz w:val="16"/>
              </w:rPr>
              <w:t>Table de code commune C-1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 commune C-1</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001034</w:t>
            </w:r>
          </w:p>
        </w:tc>
        <w:tc>
          <w:tcPr>
            <w:tcW w:type="dxa" w:w="1514"/>
          </w:tcPr>
          <w:p>
            <w:r/>
            <w:r>
              <w:rPr>
                <w:rFonts w:ascii="Verdana" w:hAnsi="Verdana"/>
                <w:b w:val="0"/>
                <w:sz w:val="16"/>
              </w:rPr>
              <w:t>Identification du centre secondaire d'origine/de production</w:t>
            </w:r>
          </w:p>
        </w:tc>
        <w:tc>
          <w:tcPr>
            <w:tcW w:type="dxa" w:w="1514"/>
          </w:tcPr>
          <w:p>
            <w:r/>
            <w:r>
              <w:rPr>
                <w:rFonts w:ascii="Verdana" w:hAnsi="Verdana"/>
                <w:b w:val="0"/>
                <w:sz w:val="16"/>
              </w:rPr>
              <w:t>Table de code commune C-12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 commune C-12</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001035</w:t>
            </w:r>
          </w:p>
        </w:tc>
        <w:tc>
          <w:tcPr>
            <w:tcW w:type="dxa" w:w="1514"/>
          </w:tcPr>
          <w:p>
            <w:r/>
            <w:r>
              <w:rPr>
                <w:rFonts w:ascii="Verdana" w:hAnsi="Verdana"/>
                <w:b w:val="0"/>
                <w:sz w:val="16"/>
              </w:rPr>
              <w:t>Centre d'origine/de production</w:t>
            </w:r>
          </w:p>
        </w:tc>
        <w:tc>
          <w:tcPr>
            <w:tcW w:type="dxa" w:w="1514"/>
          </w:tcPr>
          <w:p>
            <w:r/>
            <w:r>
              <w:rPr>
                <w:rFonts w:ascii="Verdana" w:hAnsi="Verdana"/>
                <w:b w:val="0"/>
                <w:sz w:val="16"/>
              </w:rPr>
              <w:t>Table de code commune C-11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 commune C-11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001036</w:t>
            </w:r>
          </w:p>
        </w:tc>
        <w:tc>
          <w:tcPr>
            <w:tcW w:type="dxa" w:w="1514"/>
          </w:tcPr>
          <w:p>
            <w:r/>
            <w:r>
              <w:rPr>
                <w:rFonts w:ascii="Verdana" w:hAnsi="Verdana"/>
                <w:b w:val="0"/>
                <w:sz w:val="16"/>
              </w:rPr>
              <w:t>Organisme chargé de la mise en œuvre de la plate-forme d'observation</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001037</w:t>
            </w:r>
          </w:p>
        </w:tc>
        <w:tc>
          <w:tcPr>
            <w:tcW w:type="dxa" w:w="1514"/>
          </w:tcPr>
          <w:p>
            <w:r/>
            <w:r>
              <w:rPr>
                <w:rFonts w:ascii="Verdana" w:hAnsi="Verdana"/>
                <w:b w:val="0"/>
                <w:sz w:val="16"/>
              </w:rPr>
              <w:t>Numéro de séquence SIGMET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001038</w:t>
            </w:r>
          </w:p>
        </w:tc>
        <w:tc>
          <w:tcPr>
            <w:tcW w:type="dxa" w:w="1514"/>
          </w:tcPr>
          <w:p>
            <w:r/>
            <w:r>
              <w:rPr>
                <w:rFonts w:ascii="Verdana" w:hAnsi="Verdana"/>
                <w:b w:val="0"/>
                <w:sz w:val="16"/>
              </w:rPr>
              <w:t>Source des données sur la fraction de glace de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001039</w:t>
            </w:r>
          </w:p>
        </w:tc>
        <w:tc>
          <w:tcPr>
            <w:tcW w:type="dxa" w:w="1514"/>
          </w:tcPr>
          <w:p>
            <w:r/>
            <w:r>
              <w:rPr>
                <w:rFonts w:ascii="Verdana" w:hAnsi="Verdana"/>
                <w:b w:val="0"/>
                <w:sz w:val="16"/>
              </w:rPr>
              <w:t>Numéro de séquence des prévisions de zone sous forme graphique (GFA)</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001040</w:t>
            </w:r>
          </w:p>
        </w:tc>
        <w:tc>
          <w:tcPr>
            <w:tcW w:type="dxa" w:w="1514"/>
          </w:tcPr>
          <w:p>
            <w:r/>
            <w:r>
              <w:rPr>
                <w:rFonts w:ascii="Verdana" w:hAnsi="Verdana"/>
                <w:b w:val="0"/>
                <w:sz w:val="16"/>
              </w:rPr>
              <w:t>Indicatif du centre de traitement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001041</w:t>
            </w:r>
          </w:p>
        </w:tc>
        <w:tc>
          <w:tcPr>
            <w:tcW w:type="dxa" w:w="1514"/>
          </w:tcPr>
          <w:p>
            <w:r/>
            <w:r>
              <w:rPr>
                <w:rFonts w:ascii="Verdana" w:hAnsi="Verdana"/>
                <w:b w:val="0"/>
                <w:sz w:val="16"/>
              </w:rPr>
              <w:t>Vitesse absolue de la plate-forme - première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001042</w:t>
            </w:r>
          </w:p>
        </w:tc>
        <w:tc>
          <w:tcPr>
            <w:tcW w:type="dxa" w:w="1514"/>
          </w:tcPr>
          <w:p>
            <w:r/>
            <w:r>
              <w:rPr>
                <w:rFonts w:ascii="Verdana" w:hAnsi="Verdana"/>
                <w:b w:val="0"/>
                <w:sz w:val="16"/>
              </w:rPr>
              <w:t>Vitesse absolue de la plate-forme - deuxième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001043</w:t>
            </w:r>
          </w:p>
        </w:tc>
        <w:tc>
          <w:tcPr>
            <w:tcW w:type="dxa" w:w="1514"/>
          </w:tcPr>
          <w:p>
            <w:r/>
            <w:r>
              <w:rPr>
                <w:rFonts w:ascii="Verdana" w:hAnsi="Verdana"/>
                <w:b w:val="0"/>
                <w:sz w:val="16"/>
              </w:rPr>
              <w:t>Vitesse absolue de la plate-forme - troisième composante</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-1073741824</w:t>
            </w:r>
          </w:p>
        </w:tc>
        <w:tc>
          <w:tcPr>
            <w:tcW w:type="dxa" w:w="1514"/>
          </w:tcPr>
          <w:p>
            <w:r/>
            <w:r>
              <w:rPr>
                <w:rFonts w:ascii="Verdana" w:hAnsi="Verdana"/>
                <w:b w:val="0"/>
                <w:sz w:val="16"/>
              </w:rPr>
              <w:t>31</w:t>
            </w:r>
          </w:p>
        </w:tc>
        <w:tc>
          <w:tcPr>
            <w:tcW w:type="dxa" w:w="1514"/>
          </w:tcPr>
          <w:p>
            <w:r/>
            <w:r>
              <w:rPr>
                <w:rFonts w:ascii="Verdana" w:hAnsi="Verdana"/>
                <w:b w:val="0"/>
                <w:sz w:val="16"/>
              </w:rPr>
              <w:t>m/s</w:t>
            </w:r>
          </w:p>
        </w:tc>
        <w:tc>
          <w:tcPr>
            <w:tcW w:type="dxa" w:w="1514"/>
          </w:tcPr>
          <w:p>
            <w:r/>
            <w:r>
              <w:rPr>
                <w:rFonts w:ascii="Verdana" w:hAnsi="Verdana"/>
                <w:b w:val="0"/>
                <w:sz w:val="16"/>
              </w:rPr>
              <w:t>5</w:t>
            </w:r>
          </w:p>
        </w:tc>
        <w:tc>
          <w:tcPr>
            <w:tcW w:type="dxa" w:w="1514"/>
          </w:tcPr>
          <w:p>
            <w:r/>
            <w:r>
              <w:rPr>
                <w:rFonts w:ascii="Verdana" w:hAnsi="Verdana"/>
                <w:b w:val="0"/>
                <w:sz w:val="16"/>
              </w:rPr>
              <w:t>10</w:t>
            </w:r>
          </w:p>
        </w:tc>
        <w:tc>
          <w:tcPr>
            <w:tcW w:type="dxa" w:w="1514"/>
          </w:tcPr>
          <w:p>
            <w:r/>
            <w:r>
              <w:rPr>
                <w:rFonts w:ascii="Verdana" w:hAnsi="Verdana"/>
                <w:b w:val="0"/>
                <w:sz w:val="16"/>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tc>
      </w:tr>
      <w:tr>
        <w:trPr>
          <w:cantSplit/>
        </w:trPr>
        <w:tc>
          <w:tcPr>
            <w:tcW w:type="dxa" w:w="1514"/>
          </w:tcPr>
          <w:p>
            <w:r/>
            <w:r>
              <w:rPr>
                <w:rFonts w:ascii="Verdana" w:hAnsi="Verdana"/>
                <w:b w:val="0"/>
                <w:sz w:val="16"/>
              </w:rPr>
              <w:t>001044</w:t>
            </w:r>
          </w:p>
        </w:tc>
        <w:tc>
          <w:tcPr>
            <w:tcW w:type="dxa" w:w="1514"/>
          </w:tcPr>
          <w:p>
            <w:r/>
            <w:r>
              <w:rPr>
                <w:rFonts w:ascii="Verdana" w:hAnsi="Verdana"/>
                <w:b w:val="0"/>
                <w:sz w:val="16"/>
              </w:rPr>
              <w:t>Application de production standard</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001050</w:t>
            </w:r>
          </w:p>
        </w:tc>
        <w:tc>
          <w:tcPr>
            <w:tcW w:type="dxa" w:w="1514"/>
          </w:tcPr>
          <w:p>
            <w:r/>
            <w:r>
              <w:rPr>
                <w:rFonts w:ascii="Verdana" w:hAnsi="Verdana"/>
                <w:b w:val="0"/>
                <w:sz w:val="16"/>
              </w:rPr>
              <w:t>Numéro d'identification de l'émetteur de la plate-forme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001051</w:t>
            </w:r>
          </w:p>
        </w:tc>
        <w:tc>
          <w:tcPr>
            <w:tcW w:type="dxa" w:w="1514"/>
          </w:tcPr>
          <w:p>
            <w:r/>
            <w:r>
              <w:rPr>
                <w:rFonts w:ascii="Verdana" w:hAnsi="Verdana"/>
                <w:b w:val="0"/>
                <w:sz w:val="16"/>
              </w:rPr>
              <w:t>Numéro d'identification de l'émetteur de la plate-forme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001052</w:t>
            </w:r>
          </w:p>
        </w:tc>
        <w:tc>
          <w:tcPr>
            <w:tcW w:type="dxa" w:w="1514"/>
          </w:tcPr>
          <w:p>
            <w:r/>
            <w:r>
              <w:rPr>
                <w:rFonts w:ascii="Verdana" w:hAnsi="Verdana"/>
                <w:b w:val="0"/>
                <w:sz w:val="16"/>
              </w:rPr>
              <w:t>Indicateur d'identification de l'émetteur de la plate-forme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001053</w:t>
            </w:r>
          </w:p>
        </w:tc>
        <w:tc>
          <w:tcPr>
            <w:tcW w:type="dxa" w:w="1514"/>
          </w:tcPr>
          <w:p>
            <w:r/>
            <w:r>
              <w:rPr>
                <w:rFonts w:ascii="Verdana" w:hAnsi="Verdana"/>
                <w:b w:val="0"/>
                <w:sz w:val="16"/>
              </w:rPr>
              <w:t>Numéro de séquence pour les messages provenant du tsunamimètre déclenchés par un tsunami</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001060</w:t>
            </w:r>
          </w:p>
        </w:tc>
        <w:tc>
          <w:tcPr>
            <w:tcW w:type="dxa" w:w="1514"/>
          </w:tcPr>
          <w:p>
            <w:r/>
            <w:r>
              <w:rPr>
                <w:rFonts w:ascii="Verdana" w:hAnsi="Verdana"/>
                <w:b w:val="0"/>
                <w:sz w:val="16"/>
              </w:rPr>
              <w:t>Point de signalisation de la position des aéronefs (indicateur Beacon)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001062</w:t>
            </w:r>
          </w:p>
        </w:tc>
        <w:tc>
          <w:tcPr>
            <w:tcW w:type="dxa" w:w="1514"/>
          </w:tcPr>
          <w:p>
            <w:r/>
            <w:r>
              <w:rPr>
                <w:rFonts w:ascii="Verdana" w:hAnsi="Verdana"/>
                <w:b w:val="0"/>
                <w:sz w:val="16"/>
              </w:rPr>
              <w:t>Indicateur court d'emplacement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001063</w:t>
            </w:r>
          </w:p>
        </w:tc>
        <w:tc>
          <w:tcPr>
            <w:tcW w:type="dxa" w:w="1514"/>
          </w:tcPr>
          <w:p>
            <w:r/>
            <w:r>
              <w:rPr>
                <w:rFonts w:ascii="Verdana" w:hAnsi="Verdana"/>
                <w:b w:val="0"/>
                <w:sz w:val="16"/>
              </w:rPr>
              <w:t>Indicateur d'emplacement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001064</w:t>
            </w:r>
          </w:p>
        </w:tc>
        <w:tc>
          <w:tcPr>
            <w:tcW w:type="dxa" w:w="1514"/>
          </w:tcPr>
          <w:p>
            <w:r/>
            <w:r>
              <w:rPr>
                <w:rFonts w:ascii="Verdana" w:hAnsi="Verdana"/>
                <w:b w:val="0"/>
                <w:sz w:val="16"/>
              </w:rPr>
              <w:t>Indicatif de piste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001065</w:t>
            </w:r>
          </w:p>
        </w:tc>
        <w:tc>
          <w:tcPr>
            <w:tcW w:type="dxa" w:w="1514"/>
          </w:tcPr>
          <w:p>
            <w:r/>
            <w:r>
              <w:rPr>
                <w:rFonts w:ascii="Verdana" w:hAnsi="Verdana"/>
                <w:b w:val="0"/>
                <w:sz w:val="16"/>
              </w:rPr>
              <w:t>Indicatif de la région OACI</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001075</w:t>
            </w:r>
          </w:p>
        </w:tc>
        <w:tc>
          <w:tcPr>
            <w:tcW w:type="dxa" w:w="1514"/>
          </w:tcPr>
          <w:p>
            <w:r/>
            <w:r>
              <w:rPr>
                <w:rFonts w:ascii="Verdana" w:hAnsi="Verdana"/>
                <w:b w:val="0"/>
                <w:sz w:val="16"/>
              </w:rPr>
              <w:t>Identification de la station d'observation des marées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001079</w:t>
            </w:r>
          </w:p>
        </w:tc>
        <w:tc>
          <w:tcPr>
            <w:tcW w:type="dxa" w:w="1514"/>
          </w:tcPr>
          <w:p>
            <w:r/>
            <w:r>
              <w:rPr>
                <w:rFonts w:ascii="Verdana" w:hAnsi="Verdana"/>
                <w:b w:val="0"/>
                <w:sz w:val="16"/>
              </w:rPr>
              <w:t>Identificateur de profil unique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001080</w:t>
            </w:r>
          </w:p>
        </w:tc>
        <w:tc>
          <w:tcPr>
            <w:tcW w:type="dxa" w:w="1514"/>
          </w:tcPr>
          <w:p>
            <w:r/>
            <w:r>
              <w:rPr>
                <w:rFonts w:ascii="Verdana" w:hAnsi="Verdana"/>
                <w:b w:val="0"/>
                <w:sz w:val="16"/>
              </w:rPr>
              <w:t>Numéro de la ligne parcourue par le navire du SOOP</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001081</w:t>
            </w:r>
          </w:p>
        </w:tc>
        <w:tc>
          <w:tcPr>
            <w:tcW w:type="dxa" w:w="1514"/>
          </w:tcPr>
          <w:p>
            <w:r/>
            <w:r>
              <w:rPr>
                <w:rFonts w:ascii="Verdana" w:hAnsi="Verdana"/>
                <w:b w:val="0"/>
                <w:sz w:val="16"/>
              </w:rPr>
              <w:t>Numéro de série de la radiosonde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001082</w:t>
            </w:r>
          </w:p>
        </w:tc>
        <w:tc>
          <w:tcPr>
            <w:tcW w:type="dxa" w:w="1514"/>
          </w:tcPr>
          <w:p>
            <w:r/>
            <w:r>
              <w:rPr>
                <w:rFonts w:ascii="Verdana" w:hAnsi="Verdana"/>
                <w:b w:val="0"/>
                <w:sz w:val="16"/>
              </w:rPr>
              <w:t>Numéro du radiosondage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rPr>
          <w:cantSplit/>
        </w:trPr>
        <w:tc>
          <w:tcPr>
            <w:tcW w:type="dxa" w:w="1514"/>
          </w:tcPr>
          <w:p>
            <w:r/>
            <w:r>
              <w:rPr>
                <w:rFonts w:ascii="Verdana" w:hAnsi="Verdana"/>
                <w:b w:val="0"/>
                <w:sz w:val="16"/>
              </w:rPr>
              <w:t>001083</w:t>
            </w:r>
          </w:p>
        </w:tc>
        <w:tc>
          <w:tcPr>
            <w:tcW w:type="dxa" w:w="1514"/>
          </w:tcPr>
          <w:p>
            <w:r/>
            <w:r>
              <w:rPr>
                <w:rFonts w:ascii="Verdana" w:hAnsi="Verdana"/>
                <w:b w:val="0"/>
                <w:sz w:val="16"/>
              </w:rPr>
              <w:t>Numéro du lâcher de radiosonde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01</w:t>
            </w:r>
          </w:p>
        </w:tc>
        <w:tc>
          <w:tcPr>
            <w:tcW w:type="dxa" w:w="1514"/>
          </w:tcPr>
          <w:p>
            <w:r/>
            <w:r>
              <w:rPr>
                <w:rFonts w:ascii="Verdana" w:hAnsi="Verdana"/>
                <w:b w:val="0"/>
                <w:sz w:val="16"/>
              </w:rPr>
              <w:t>Note 45: 1) Chiffres du code 1 à 9:  durée et heure de la mesure du courant (méthode vectorielle ou méthode Doppler d’établissement du profil du courant). 2) Chiffres du code 11 à 19:  période de la mesure du courant (méthode de la dérive). 3) H = heure d’observation.</w:t>
            </w:r>
          </w:p>
        </w:tc>
      </w:tr>
      <w:tr>
        <w:trPr>
          <w:cantSplit/>
        </w:trPr>
        <w:tc>
          <w:tcPr>
            <w:tcW w:type="dxa" w:w="1514"/>
          </w:tcPr>
          <w:p>
            <w:r/>
            <w:r>
              <w:rPr>
                <w:rFonts w:ascii="Verdana" w:hAnsi="Verdana"/>
                <w:b w:val="0"/>
                <w:sz w:val="16"/>
              </w:rPr>
              <w:t>001085</w:t>
            </w:r>
          </w:p>
        </w:tc>
        <w:tc>
          <w:tcPr>
            <w:tcW w:type="dxa" w:w="1514"/>
          </w:tcPr>
          <w:p>
            <w:r/>
            <w:r>
              <w:rPr>
                <w:rFonts w:ascii="Verdana" w:hAnsi="Verdana"/>
                <w:b w:val="0"/>
                <w:sz w:val="16"/>
              </w:rPr>
              <w:t>Modèle de la plate-forme d'observation - appellation donnée par le fabricant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001086</w:t>
            </w:r>
          </w:p>
        </w:tc>
        <w:tc>
          <w:tcPr>
            <w:tcW w:type="dxa" w:w="1514"/>
          </w:tcPr>
          <w:p>
            <w:r/>
            <w:r>
              <w:rPr>
                <w:rFonts w:ascii="Verdana" w:hAnsi="Verdana"/>
                <w:b w:val="0"/>
                <w:sz w:val="16"/>
              </w:rPr>
              <w:t>Numéro de série de la plate-forme d'observation, fourni par le fabricant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001087</w:t>
            </w:r>
          </w:p>
        </w:tc>
        <w:tc>
          <w:tcPr>
            <w:tcW w:type="dxa" w:w="1514"/>
          </w:tcPr>
          <w:p>
            <w:r/>
            <w:r>
              <w:rPr>
                <w:rFonts w:ascii="Verdana" w:hAnsi="Verdana"/>
                <w:b w:val="0"/>
                <w:sz w:val="16"/>
              </w:rPr>
              <w:t>Extension de l'indicatif OMM de la plate-forme d'observation maritime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001090</w:t>
            </w:r>
          </w:p>
        </w:tc>
        <w:tc>
          <w:tcPr>
            <w:tcW w:type="dxa" w:w="1514"/>
          </w:tcPr>
          <w:p>
            <w:r/>
            <w:r>
              <w:rPr>
                <w:rFonts w:ascii="Verdana" w:hAnsi="Verdana"/>
                <w:b w:val="0"/>
                <w:sz w:val="16"/>
              </w:rPr>
              <w:t>Technique d'établissement des perturbations initiales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001091</w:t>
            </w:r>
          </w:p>
        </w:tc>
        <w:tc>
          <w:tcPr>
            <w:tcW w:type="dxa" w:w="1514"/>
          </w:tcPr>
          <w:p>
            <w:r/>
            <w:r>
              <w:rPr>
                <w:rFonts w:ascii="Verdana" w:hAnsi="Verdana"/>
                <w:b w:val="0"/>
                <w:sz w:val="16"/>
              </w:rPr>
              <w:t>Nombre de membres dans l'ensemble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001092</w:t>
            </w:r>
          </w:p>
        </w:tc>
        <w:tc>
          <w:tcPr>
            <w:tcW w:type="dxa" w:w="1514"/>
          </w:tcPr>
          <w:p>
            <w:r/>
            <w:r>
              <w:rPr>
                <w:rFonts w:ascii="Verdana" w:hAnsi="Verdana"/>
                <w:b w:val="0"/>
                <w:sz w:val="16"/>
              </w:rPr>
              <w:t>Type de la prévision d'ensemble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001093</w:t>
            </w:r>
          </w:p>
        </w:tc>
        <w:tc>
          <w:tcPr>
            <w:tcW w:type="dxa" w:w="1514"/>
          </w:tcPr>
          <w:p>
            <w:r/>
            <w:r>
              <w:rPr>
                <w:rFonts w:ascii="Verdana" w:hAnsi="Verdana"/>
                <w:b w:val="0"/>
                <w:sz w:val="16"/>
              </w:rPr>
              <w:t>Numéro de lot du ballon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001094</w:t>
            </w:r>
          </w:p>
        </w:tc>
        <w:tc>
          <w:tcPr>
            <w:tcW w:type="dxa" w:w="1514"/>
          </w:tcPr>
          <w:p>
            <w:r/>
            <w:r>
              <w:rPr>
                <w:rFonts w:ascii="Verdana" w:hAnsi="Verdana"/>
                <w:b w:val="0"/>
                <w:sz w:val="16"/>
              </w:rPr>
              <w:t>Numéro WBAN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001095</w:t>
            </w:r>
          </w:p>
        </w:tc>
        <w:tc>
          <w:tcPr>
            <w:tcW w:type="dxa" w:w="1514"/>
          </w:tcPr>
          <w:p>
            <w:r/>
            <w:r>
              <w:rPr>
                <w:rFonts w:ascii="Verdana" w:hAnsi="Verdana"/>
                <w:b w:val="0"/>
                <w:sz w:val="16"/>
              </w:rPr>
              <w:t>Identification de l'observateur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001096</w:t>
            </w:r>
          </w:p>
        </w:tc>
        <w:tc>
          <w:tcPr>
            <w:tcW w:type="dxa" w:w="1514"/>
          </w:tcPr>
          <w:p>
            <w:r/>
            <w:r>
              <w:rPr>
                <w:rFonts w:ascii="Verdana" w:hAnsi="Verdana"/>
                <w:b w:val="0"/>
                <w:sz w:val="16"/>
              </w:rPr>
              <w:t>Mise à poste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001099</w:t>
            </w:r>
          </w:p>
        </w:tc>
        <w:tc>
          <w:tcPr>
            <w:tcW w:type="dxa" w:w="1514"/>
          </w:tcPr>
          <w:p>
            <w:r/>
            <w:r>
              <w:rPr>
                <w:rFonts w:ascii="Verdana" w:hAnsi="Verdana"/>
                <w:b w:val="0"/>
                <w:sz w:val="16"/>
              </w:rPr>
              <w:t>Définition unique du produit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001101</w:t>
            </w:r>
          </w:p>
        </w:tc>
        <w:tc>
          <w:tcPr>
            <w:tcW w:type="dxa" w:w="1514"/>
          </w:tcPr>
          <w:p>
            <w:r/>
            <w:r>
              <w:rPr>
                <w:rFonts w:ascii="Verdana" w:hAnsi="Verdana"/>
                <w:b w:val="0"/>
                <w:sz w:val="16"/>
              </w:rPr>
              <w:t>Indicateur d'identification d'État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001102</w:t>
            </w:r>
          </w:p>
        </w:tc>
        <w:tc>
          <w:tcPr>
            <w:tcW w:type="dxa" w:w="1514"/>
          </w:tcPr>
          <w:p>
            <w:r/>
            <w:r>
              <w:rPr>
                <w:rFonts w:ascii="Verdana" w:hAnsi="Verdana"/>
                <w:b w:val="0"/>
                <w:sz w:val="16"/>
              </w:rPr>
              <w:t>Chiffre indicatif national de la station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001103</w:t>
            </w:r>
          </w:p>
        </w:tc>
        <w:tc>
          <w:tcPr>
            <w:tcW w:type="dxa" w:w="1514"/>
          </w:tcPr>
          <w:p>
            <w:r/>
            <w:r>
              <w:rPr>
                <w:rFonts w:ascii="Verdana" w:hAnsi="Verdana"/>
                <w:b w:val="0"/>
                <w:sz w:val="16"/>
              </w:rPr>
              <w:t>Numéro OMI ou numéro unique du Lloyd's Register</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001104</w:t>
            </w:r>
          </w:p>
        </w:tc>
        <w:tc>
          <w:tcPr>
            <w:tcW w:type="dxa" w:w="1514"/>
          </w:tcPr>
          <w:p>
            <w:r/>
            <w:r>
              <w:rPr>
                <w:rFonts w:ascii="Verdana" w:hAnsi="Verdana"/>
                <w:b w:val="0"/>
                <w:sz w:val="16"/>
              </w:rPr>
              <w:t>Indicateur d'identification de l'État/ État fédéral</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001105</w:t>
            </w:r>
          </w:p>
        </w:tc>
        <w:tc>
          <w:tcPr>
            <w:tcW w:type="dxa" w:w="1514"/>
          </w:tcPr>
          <w:p>
            <w:r/>
            <w:r>
              <w:rPr>
                <w:rFonts w:ascii="Verdana" w:hAnsi="Verdana"/>
                <w:b w:val="0"/>
                <w:sz w:val="16"/>
              </w:rPr>
              <w:t>Indicateur de l'axe routier</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001106</w:t>
            </w:r>
          </w:p>
        </w:tc>
        <w:tc>
          <w:tcPr>
            <w:tcW w:type="dxa" w:w="1514"/>
          </w:tcPr>
          <w:p>
            <w:r/>
            <w:r>
              <w:rPr>
                <w:rFonts w:ascii="Verdana" w:hAnsi="Verdana"/>
                <w:b w:val="0"/>
                <w:sz w:val="16"/>
              </w:rPr>
              <w:t>Emplacement le long de l'axe routier indiqué par des repères de position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001110</w:t>
            </w:r>
          </w:p>
        </w:tc>
        <w:tc>
          <w:tcPr>
            <w:tcW w:type="dxa" w:w="1514"/>
          </w:tcPr>
          <w:p>
            <w:r/>
            <w:r>
              <w:rPr>
                <w:rFonts w:ascii="Verdana" w:hAnsi="Verdana"/>
                <w:b w:val="0"/>
                <w:sz w:val="16"/>
              </w:rPr>
              <w:t>Immatriculation de l'aéronef</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001111</w:t>
            </w:r>
          </w:p>
        </w:tc>
        <w:tc>
          <w:tcPr>
            <w:tcW w:type="dxa" w:w="1514"/>
          </w:tcPr>
          <w:p>
            <w:r/>
            <w:r>
              <w:rPr>
                <w:rFonts w:ascii="Verdana" w:hAnsi="Verdana"/>
                <w:b w:val="0"/>
                <w:sz w:val="16"/>
              </w:rPr>
              <w:t>Aéroport de départ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001112</w:t>
            </w:r>
          </w:p>
        </w:tc>
        <w:tc>
          <w:tcPr>
            <w:tcW w:type="dxa" w:w="1514"/>
          </w:tcPr>
          <w:p>
            <w:r/>
            <w:r>
              <w:rPr>
                <w:rFonts w:ascii="Verdana" w:hAnsi="Verdana"/>
                <w:b w:val="0"/>
                <w:sz w:val="16"/>
              </w:rPr>
              <w:t>Aéroport de destination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001113</w:t>
            </w:r>
          </w:p>
        </w:tc>
        <w:tc>
          <w:tcPr>
            <w:tcW w:type="dxa" w:w="1514"/>
          </w:tcPr>
          <w:p>
            <w:r/>
            <w:r>
              <w:rPr>
                <w:rFonts w:ascii="Verdana" w:hAnsi="Verdana"/>
                <w:b w:val="0"/>
                <w:sz w:val="16"/>
              </w:rPr>
              <w:t>Numéro de la version du modèle défini par le centre d'origine</w:t>
            </w:r>
          </w:p>
        </w:tc>
        <w:tc>
          <w:tcPr>
            <w:tcW w:type="dxa" w:w="1514"/>
          </w:tcPr>
          <w:p>
            <w:r/>
            <w:r>
              <w:rPr>
                <w:rFonts w:ascii="Verdana" w:hAnsi="Verdana"/>
                <w:b w:val="0"/>
                <w:sz w:val="16"/>
              </w:rPr>
              <w:t>Numérique</w:t>
            </w:r>
          </w:p>
        </w:tc>
        <w:tc>
          <w:tcPr>
            <w:tcW w:type="dxa" w:w="1514"/>
          </w:tcPr>
          <w:p>
            <w:r/>
            <w:r>
              <w:rPr>
                <w:rFonts w:ascii="Verdana" w:hAnsi="Verdana"/>
                <w:b w:val="0"/>
                <w:sz w:val="16"/>
              </w:rPr>
              <w:t>01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01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001114</w:t>
            </w:r>
          </w:p>
        </w:tc>
        <w:tc>
          <w:tcPr>
            <w:tcW w:type="dxa" w:w="1514"/>
          </w:tcPr>
          <w:p>
            <w:r/>
            <w:r>
              <w:rPr>
                <w:rFonts w:ascii="Verdana" w:hAnsi="Verdana"/>
                <w:b w:val="0"/>
                <w:sz w:val="16"/>
              </w:rPr>
              <w:t>Indicateur d'identification chiffré du navire ou d'une station terrestre mobile (chiffrement Base64)</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352</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44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001115</w:t>
            </w:r>
          </w:p>
        </w:tc>
        <w:tc>
          <w:tcPr>
            <w:tcW w:type="dxa" w:w="1514"/>
          </w:tcPr>
          <w:p>
            <w:r/>
            <w:r>
              <w:rPr>
                <w:rFonts w:ascii="Verdana" w:hAnsi="Verdana"/>
                <w:b w:val="0"/>
                <w:sz w:val="16"/>
              </w:rPr>
              <w:t>Identificateur de la campagne ou de la mission au titre de laquelle les données ont été recueillies</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160</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001124</w:t>
            </w:r>
          </w:p>
        </w:tc>
        <w:tc>
          <w:tcPr>
            <w:tcW w:type="dxa" w:w="1514"/>
          </w:tcPr>
          <w:p>
            <w:r/>
            <w:r>
              <w:rPr>
                <w:rFonts w:ascii="Verdana" w:hAnsi="Verdana"/>
                <w:b w:val="0"/>
                <w:sz w:val="16"/>
              </w:rPr>
              <w:t>Indicateur d'identification des points de grille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001125</w:t>
            </w:r>
          </w:p>
        </w:tc>
        <w:tc>
          <w:tcPr>
            <w:tcW w:type="dxa" w:w="1514"/>
          </w:tcPr>
          <w:p>
            <w:r/>
            <w:r>
              <w:rPr>
                <w:rFonts w:ascii="Verdana" w:hAnsi="Verdana"/>
                <w:b w:val="0"/>
                <w:sz w:val="16"/>
              </w:rPr>
              <w:t>Série d'identifiants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001126</w:t>
            </w:r>
          </w:p>
        </w:tc>
        <w:tc>
          <w:tcPr>
            <w:tcW w:type="dxa" w:w="1514"/>
          </w:tcPr>
          <w:p>
            <w:r/>
            <w:r>
              <w:rPr>
                <w:rFonts w:ascii="Verdana" w:hAnsi="Verdana"/>
                <w:b w:val="0"/>
                <w:sz w:val="16"/>
              </w:rPr>
              <w:t>Émetteur d'identifiants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001127</w:t>
            </w:r>
          </w:p>
        </w:tc>
        <w:tc>
          <w:tcPr>
            <w:tcW w:type="dxa" w:w="1514"/>
          </w:tcPr>
          <w:p>
            <w:r/>
            <w:r>
              <w:rPr>
                <w:rFonts w:ascii="Verdana" w:hAnsi="Verdana"/>
                <w:b w:val="0"/>
                <w:sz w:val="16"/>
              </w:rPr>
              <w:t>Numéro d'émission du WIGOS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001128</w:t>
            </w:r>
          </w:p>
        </w:tc>
        <w:tc>
          <w:tcPr>
            <w:tcW w:type="dxa" w:w="1514"/>
          </w:tcPr>
          <w:p>
            <w:r/>
            <w:r>
              <w:rPr>
                <w:rFonts w:ascii="Verdana" w:hAnsi="Verdana"/>
                <w:b w:val="0"/>
                <w:sz w:val="16"/>
              </w:rPr>
              <w:t>Identifiant local du WIGOS (caractère)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128</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001144</w:t>
            </w:r>
          </w:p>
        </w:tc>
        <w:tc>
          <w:tcPr>
            <w:tcW w:type="dxa" w:w="1514"/>
          </w:tcPr>
          <w:p>
            <w:r/>
            <w:r>
              <w:rPr>
                <w:rFonts w:ascii="Verdana" w:hAnsi="Verdana"/>
                <w:b w:val="0"/>
                <w:sz w:val="16"/>
              </w:rPr>
              <w:t>Indicateur d'identification de l'instantané</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001150</w:t>
            </w:r>
          </w:p>
        </w:tc>
        <w:tc>
          <w:tcPr>
            <w:tcW w:type="dxa" w:w="1514"/>
          </w:tcPr>
          <w:p>
            <w:r/>
            <w:r>
              <w:rPr>
                <w:rFonts w:ascii="Verdana" w:hAnsi="Verdana"/>
                <w:b w:val="0"/>
                <w:sz w:val="16"/>
              </w:rPr>
              <w:t>Système de coordonnées de référence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001151</w:t>
            </w:r>
          </w:p>
        </w:tc>
        <w:tc>
          <w:tcPr>
            <w:tcW w:type="dxa" w:w="1514"/>
          </w:tcPr>
          <w:p>
            <w:r/>
            <w:r>
              <w:rPr>
                <w:rFonts w:ascii="Verdana" w:hAnsi="Verdana"/>
                <w:b w:val="0"/>
                <w:sz w:val="16"/>
              </w:rPr>
              <w:t>Données de référence sur le niveau moyen de la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001152</w:t>
            </w:r>
          </w:p>
        </w:tc>
        <w:tc>
          <w:tcPr>
            <w:tcW w:type="dxa" w:w="1514"/>
          </w:tcPr>
          <w:p>
            <w:r/>
            <w:r>
              <w:rPr>
                <w:rFonts w:ascii="Verdana" w:hAnsi="Verdana"/>
                <w:b w:val="0"/>
                <w:sz w:val="16"/>
              </w:rPr>
              <w:t>Demi-grand axe de l'ellipsoïde de rotation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001153</w:t>
            </w:r>
          </w:p>
        </w:tc>
        <w:tc>
          <w:tcPr>
            <w:tcW w:type="dxa" w:w="1514"/>
          </w:tcPr>
          <w:p>
            <w:r/>
            <w:r>
              <w:rPr>
                <w:rFonts w:ascii="Verdana" w:hAnsi="Verdana"/>
                <w:b w:val="0"/>
                <w:sz w:val="16"/>
              </w:rPr>
              <w:t>Demi-petit axe de l'ellipsoïde de rotation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11</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