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14 : Rayonnement et luminance énergétique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de grande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de grande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de courte longueur d'onde,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de courte longueur d'onde,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instantané de grande longueur d'onde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instantané de courte longueur d'onde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 de la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diffus,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diffus,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intégré sur 24 heures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 au sommet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Flux de rayonnement solaire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réflexion bidirectionnelle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35: Le descripteur 0 25 009 est caduc; le remplacer par le descripteur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36: Les statistiques sur les differences sont des valeurs differentielles ayant des dimensions similaires a celles des valeurs observees correspondantes en ce qui concerne les unites, mais dont les limites sont centrees sur le zero.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Le sondage par atmosphere claire indique que le sondage a ete effectue a partir d'un ensemble de valeurs de luminance claire a l'aide de toutes les valeurs de luminance du sondeur disponible.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moyenne AVHRR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luminance AVHRR mise à l'échelle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Bit mis a 0 si c'est le jour (distance zenithale du soleil &lt; 90 degres). Bit mis a 1 si c'est la nuit (distance zenithale du soleil &gt;= 90 degres).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intégré au cours de la dernière heure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 ascendant,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 (précision élevée),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photosynthétiquement actif, intégré sur une période déterminée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l'activité solaire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de fond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Flux de chaleur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014072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ultraviolet global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83: Ces temperatures sont utilisees pour calculer la contribution du milieu aux luminances energetiques servant de cibles d'etalonnage interne. Quand ce bit est mis a 1, il faut remplacer les temperatures incorrectes par les valeurs confirmees de la temperature de la cible d'etalonnage interne.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