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21 : Données de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horizontale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verticale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Réflectivité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dépolarisation rectiligne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dépolarisation circulaire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dans la direction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dans la direction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dans la direction 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Doppler moyenne (radiale)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spectrale de la vitesse Doppler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en dehors de l'intervalle de NYQUIST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en haut de l'intervalle de NYQUIST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maximale des échos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des cellules de 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cellules de distance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Décalage d'azimut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azimutale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Phase différentielle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corrélation de polarisation croisée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signal-bruit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Contenu en eau liquide, intégré verticalement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 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mesurée par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bande brillante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Puissance du signal supérieure à 1 mW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radiométrique (valeur de bruit)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des bruits parasites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Totalisateur de paquets manquants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SAR mode vague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le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du radioaltimètre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la mer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degré de confiance du produit concernant la température de surface de la mer (SADIST-2)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d'étalonnage de l'altimètre sur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l'altimètre sur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spectrale de l'image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Représentation des intensités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(ionosphère)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(troposphère sèche)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(troposphère humide)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d'altitude (constance d'étalonnage)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boucle ouverte (boucle hauteur-temps)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de boucle ouverte (contrôle de gain automatique)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Étalonnage - cible chaude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Étalonnage - cible froide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bandes transversales de mesure de la température de la mer en surface par ATSR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au nadir uniquement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en double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Rétrodiffusion, conditions humides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0ième moment du spectre Doppler du signal RASS (Système de sondage radio-acoustique)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021094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d'ambiguïtés vectorielles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du vecteur vent retenu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mesures de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Vraisemblance calculée pour la solution obtenue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radar normalisée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(alpha)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(bêta)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vecteur vent mesuré à l'intérieur de la cellule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l'avant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l'avant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intérieur (à l'arrière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sigma-0 du faisceau extérieur (à l'arrière du satellite)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variance Kp (gamma)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sigma-0 déterminée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sigma-0 déterminé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Contrôle de la qualité de la variance de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Modèle géophysique de diffusomètre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Probabilité de pluie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pluie déterminé par SEAWINDS à partir d'une fonction objective normalisée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d'atténuation sur sigma-0 (sur la base de tB)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radar normalisée déterminée par SEAWINDS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valables par seconde utilisés pour dériver les paramètres précédents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totale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Énergie spectrale maximale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l'énergie spectrale maximale sur la grille de grande résolution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de l'énergie spectrale maximale sur la grille de grande résolution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Pouvoir séparateur de l'interspectre de covariance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réelle des interspectres, en nombre de cellules de la grille polaire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Partie imaginaire des interspectres, en nombre de cellules de la grille polaire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en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Atténuation par la pluie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pluie de l'altimètre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variation du front arrière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Recoupement de faisceaux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sigma-0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Pente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la pente à une incidence de 40°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Sensibilité à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du vecteur vent dans la cellule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Perte par unité de longueur utilisée pour l'atmosphère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l'estimation de la Kp,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des sigma-0,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Utilisation de données synthétiques,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des données synthétiques,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l'orbite et de l'attitude du satellite,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Contamination par réflexion sur panneau solaire,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Présence et qualité des télémesures,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 de référence extrapolée, ASCAT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présence de 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du coefficient de rétrodiffusion corrigé pour l'océan en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la bande 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haute fréquence de la variabilité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à 20 Hz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- centre de gravité excentré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à 20 Hz pour le coefficient de rétrodiffusion pour l'océan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pour l'océan à 20 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Maxima à 20 Hz en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pour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 corrigé type pour l'océan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finale de l'erreur instrumentale pour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de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021188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points corrects pour la commande automatique de gain dans une bande précise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