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22 : Éléments océanographiques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6)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des vagues de la mer du 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6)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des vagues de la houle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6)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courant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54: 1) Les définitions données pour les chiffres du code 0 à 2 et 4 s’appliquent à une superficie représentative de sol nu, et les chiffres 3, 5 à 9 et 10 à 19 à une zone dégagée représentative. 2) En toutes circonstances, on choisit le chiffre du code le plus élevé qui puisse s’appliquer. 3) Dans la table de code ci-dessus, toute référence à de la glace comprend aussi les précipitations solides autres que la neige.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courant marin de surface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des vagues de la mer du 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des vagues de la houle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des vagues de la mer du 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des vagues de la houle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la hauteur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la hauteur significative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courant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courant marin de surface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par rapport aux zéros hydrographiques locaux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résiduelle météorologique (montée ou retrait des eaux)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par rapport aux zéros terrestres locaux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par rapport aux zéros hydrographiques locaux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résiduelle météorologique (montée ou retrait des eaux)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55: Au cas ou l'intensite de la pluie est telle qu'elle intercepte les nuages a la vue de l'observateur, celui-ci devrait utiliser le chiffre du code 5 ou 8. Il utilisera le chiffre 5 si la pluie est localisee ou de courte duree; il choisira le chiffre 8 si la pluie est generalisee ou dure plus longtemps.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marée résiduelle météorologique (montée ou retrait des eaux)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55: Au cas ou l'intensite de la pluie est telle qu'elle intercepte les nuages a la vue de l'observateur, celui-ci devrait utiliser le chiffre du code 5 ou 8. Il utilisera le chiffre 5 si la pluie est localisee ou de courte duree; il choisira le chiffre 8 si la pluie est generalisee ou dure plus longtemps.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surface de la mer (moyenne mobile sur 15 jours)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son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de glace de 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surface de la 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la température de surface de la 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cycle du flotteur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profil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Salinité de surface de la 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de l'ancre flottante - flotteur lagrangien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de la 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Salinité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totale de l'eau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Salinité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d'eau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Conductivité de l'eau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d'instrument pour la mesure du profil de la température/salinité de l'eau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Types d'enregistreurs du profil de la température de l'eau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spectrale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spectrale maximale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spectrale maximale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maximale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moyenne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moyenne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d'où viennent les vagues dominantes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2)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Dispersion directionnelle de la vague dominante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2)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Durée de l'enregistrement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de l'enregistrement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des bandes d'ondes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d'ondes central des bandes d'ondes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maximale d'ondes à spectres non directionnels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maximal d'ondes à spectres non directionnels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Bandes contenant une densité maximale d'ondes à spectres non directionnels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de densité d'ondes à spectres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d'où viennent les vagues (valeur moyenne)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100: Code figures 31 - 34 are measurement quality classifications according to the Guide to Instruments and Methods of Observation (WMO-No. 8), Volume I, Chapter 1, Annex 1.G.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principale d'où viennent les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Première coordonnée polaire normalisée dérivée des coefficients de Fourier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Deuxième coordonnée polaire normalisée dérivée des coefficients de Fourier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Estimation du spectre non directionnel par fréquence d'ondes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Estimation du spectre non directionnel par nombre d'ondes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Estimation du spectre directionnel par fréquence d'ondes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rad-1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rad-1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Estimation du spectre directionnel par nombre d'ondes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total de bandes d'ondes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Dispersion directionnelle de chaque vague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spectrale des bandes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d'onde moyenne du spectre de l'image aux petits nombres d'ondes (longueur d'onde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5)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Dispersion en longueur d'onde aux petits nombres d'ondes (longueur d'onde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5)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022099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moyenne aux petits nombres d'ondes (longueur d'onde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5)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Dispersion en direction aux petits nombres d'ondes (longueur d'onde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5)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Énergie totale aux petits nombres d'ondes (longueur d'onde &gt; 731 m)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5)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maximale d'ondes à spectres non directionnels, pondérée en fonction de la fréquence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10)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maximale d'ondes à spectres non directionnels, pondérée en fonction du nombre d'ondes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10)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d'ondes à spectres non directionnels, pondérée en fonction de la fréquence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10)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d'ondes à spectres non directionnels, pondérée en fonction du nombre d'ondes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10)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d'ondes à spectres directionnels, pondérée en fonction de la fréquence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 rad-1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 rad-1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10)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d'ondes à spectres directionnels, pondérée en fonction du nombre d'ondes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10)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de densité d'ondes à spectres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Vérification automatique du niveau d'eau à la station d'observation des marées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Vérification manuelle du niveau d'eau à la station d'observation des marées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Vérification automatique des données météorologiques à la station d'observation des marées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Vérification manuelle des données météorologiques à la station d'observation des marées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hauteur significative des vagues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de la hauteur significative des vagues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hauteur significative des vagues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pour la rétrodiffusion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surface de la mer (moyenne mobile sur 15 jours)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Carré de la hauteur significative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Carré type de la hauteur significative des vagues à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pour la hauteur significative des vagues au carré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type à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pour centre de gravité excentré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type à 20 Hz pour centre de gravité excentré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-8388608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pour l'intervalle océanique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au carré à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-33554432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18 Hz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type à 18 Hz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18 Hz en bande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en bande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type à 18 Hz en bande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type à 18 Hz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en bande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type à 18 Hz en bande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Age de vague inverse normalisé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Spectres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l'intervalle océanique à 20 Hz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hauteur significative des vagues à 20 Hz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pour la hauteur significative des vagues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hauteur significative des vagues dans la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de rétrodiffusion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en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l'intervalle océanique en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en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en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hauteur significative des vagues à 20 Hz en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pour la hauteur significative des vagues en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hauteur significative des vagues dans la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de rétrodiffusion en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lanceur de XBT/XCTD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lanceur de XBT/XCTD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colonne d'eau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9)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de la hauteur de la colonne d'eau par rapport à la valeur de référence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transmissions du BPR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d'où viennent les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13: (See Common Code table C-14 Part C/c.)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Dispersion directionnelle de la vague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14: (A definir par les centres proprement dits - Voir la table de code commune C-12 dans la Partie C/c.)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Oxygène dissous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umol/kg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umol/kg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Intervalle océanique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significative des vagues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022191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l'intervalle océanique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