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23 : Dispersion et transport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Notification rapide d'un accident - article applicable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Activité ou installation en cause dans l'incident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Contre-mesures prises près de la frontière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Situation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Caractéristiques du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Nature du rejet observé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Nature du rejet prévu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Débit de la principale masse d'eau réceptrice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du rejet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réelle du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effective du rejet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point de rejet ou du site de l'incident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transport principal dans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transport principal dans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transport principal dans les eaux souterraines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transport principal dans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transport principal dans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transport principal dans les eaux souterraines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Possibilité que le panache rencontre des précipitations dans l'état où l'incident s'est produit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Possibilité que le panache soit affecté par un changement de direction et/ou de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Débit - cours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Débit - puits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