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42 : Éléments océanographiques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dominante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dominante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pour l'inversion concernant chaque partition du spectre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suppression d'ambiguïté pour la partition du spectre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Âge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Plus courte longueur d'onde de la houle en résolution spectrale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spectre inverse non linéaire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Référence pour la partition des cellules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partitions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a1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b1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a2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b2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contrôle 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