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11 : Séquences correspondant à des messages d'observation à un seul niveau (données classiques)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(Comptes rendus d'aéronef)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vol, système de navigation, date/heure, position, phase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base de la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 la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(Messages ACARS)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message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concernant les messages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ACARS standard transmises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ACARS supplémentaires transmises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(Variables ACARS standard transmises)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de l'aéronef indiquée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mélange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(Variables ACARS supplémentaires transmises)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des rafales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Accélération des rafales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moyenne de la turbulence (taux de dissipation des tourbillons)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maximale de la turbulence (taux de dissipation des tourbillons)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valeurs ACARS interpolées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(Messages AMDAR standard)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 vol détaillée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Équivalent maximal dérivé de la vitesse des rafales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valeurs ACARS interpolées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AMDAR ou données d'aéronefs pour un niveau sans indication de la latitude et de la longitude)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d'aéronefs pour un niveau avec indication de la latitude et de la longitude)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(Profil des phases ascendante et descendante d'un vol d'aéronef sans indication de la latitude et de la longitude à chaque niveau)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AMDAR ou données d'aéronefs pour un niveau sans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(Profil des phases ascendante et descendante d'un vol d'aéronef avec la latitude et la longitude à chaque niveau)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d'aéronefs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(Modèle BUFR pour les données AMDAR, version 7)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Immatriculation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Aéroport de départ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Aéroport de destination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8 Renseignements sur la qualité sur 2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GNSS (Système mondial de navigation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 vol détaillée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vraie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sol de l'aéronef (composante 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sol de l'aéronef (composante v)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sol de l'aéronef (composante w)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 vrai de l'aéronef, du navire ou de la plate-forme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 vrai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002170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Capteurs d'humidité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mélange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020042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de la cellule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020043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maximale en eau à l'état liquide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020044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moyenne en eau à l'état liquide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020045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Grosses gouttes d'eau surfondues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valeurs ACARS interpolées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moyenne de la turbulence (taux de dissipation des tourbillons)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maximale de la turbulence (taux de dissipation des tourbillons)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Étalement dans le temps de l'apparition du taux maximal de dissipation des tourbillons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Taux de dissipation des tourbillons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d'enregistrement ou temps moyen pour établir le taux de dissipation des tourbillons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des rafales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Accélération des rafales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Équivalent maximal dérivé de la vitesse des rafales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119000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19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Version de l'algorithme du taux de dissipation des tourbillons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maximale de la turbulence (taux de dissipation des tourbillons)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moyenne de la turbulence (taux de dissipation des tourbillons)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confiance minimum associé au fonctionnement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maximum d'entrées fausses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de la valeur de crête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valeurs justes du taux de dissipation des tourbillons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(Modèle IAGOS pour une seule observation), version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du polluant (mol mol-1)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19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du polluant (mol mol-1)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 la concentration en nombre de particules d'aérosols de diamètre supérieur à 5 nm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 la concentration en nombre de particules d'aérosols de diamètre supérieur à 14 nm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 la concentration en nombre de particules d'aérosols de diamètre compris entre 0,25 et 2,5 µm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Proportion d'aérosols non volatils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 la concentration intégrée de particules dans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 la surface intégrée des particules dans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du volume intégré des particules dans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(Modèle BUFR pour le profil des phases ascendante et descendante d'un vol d'aéronef avec la latitude et la longitude à chaque niveau)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Identifiant du WIGOS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Aéroport de départ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À indiquer en cas de profil de phase ascendante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Aéroport de destination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À indiquer en cas de profil de phase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Date/heure et position du premier niveau du profil (pour le profil de phase ascendante premier rapport / décollage, pour le profil de phase descendante dernier rapport /atterrissage)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Date/heure et position du premier niveau du profil (pour le profil de phase ascendante premier rapport / décollage, pour le profil de phase descendante dernier rapport /atterrissage)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Date/heure et position du premier niveau du profil (pour le profil de phase ascendante premier rapport / décollage, pour le profil de phase descendante dernier rapport /atterrissage)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Profil de phase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niveaux suivants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du message d'observation à un seul niveau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 du message d'observation à un seul niveau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d'aéronefs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Niveau de vol = altitude pression, point de rosée = valeur déduite du rapport de mélange, limitée à Td ≤ T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mélange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initiales mesurées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déduite du rapport de mélange, limitée à ≤ 100 %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 (indiquer le chiffre du code 10 si Td &gt; T, voir la table de code)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