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23: Рассеивание и перенос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Оперативное оповещение об аварии — применимая статья Конвенции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Деятельность или установка, связанные с происшествием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Контрмеры, принятые близ границы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Причина происшествия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Ситуация, связанная с происшествием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Характеристика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текущего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ожидаемого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Возможность значительного химикотоксического воздействия на здоровье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Расход потока в главном приемнике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Поведение выброса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Фактическая высота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Эффективная высота выброса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до точки выброса или места происшествия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воде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основного переноса в грунтовых водах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воде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Основное направление переноса в грунтовой воде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Возможность взаимодействия шлейфа с осадками, выпавшими в стране происхождения аварии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Воздействие на шлейф изменения в направлении и/или флаге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Расход потока — река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Расход потока — колодец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