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35: Информация о мониторинге данных в BUFR/CREX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035000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FM и номер регионального кода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035001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Временной период мониторинга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035011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Количество фактически полученных сводок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035021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Контролируемый бюллетень (TTAAii)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035022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Контролируемый бюллетень (YYGGgg)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035023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Контролируемый бюллетень (CCCC)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035024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Контролируемый бюллетень (ВВВ)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035030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Несоответствия в поступлении ожидаемых данных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035031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Показатель оценки результатов мониторинга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035032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Причина отсутствия данных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035033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Недостатки в наблюдениях и сборе данных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035034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Статистические тенденции в отношении наличия данных (в течение периода(ов) обзора)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035035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Причина прекращения подъема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