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01: Identification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ELEMENT NAME</w:t>
            </w:r>
          </w:p>
        </w:tc>
        <w:tc>
          <w:tcPr>
            <w:tcW w:type="dxa" w:w="1514"/>
            <w:shd w:val="clear" w:color="auto" w:fill="D9D9D9"/>
          </w:tcPr>
          <w:p>
            <w:pPr>
              <w:spacing w:before="20" w:after="20"/>
            </w:pPr>
            <w:r/>
            <w:r>
              <w:rPr>
                <w:rFonts w:ascii="Verdana" w:hAnsi="Verdana"/>
                <w:b w:val="0"/>
                <w:sz w:val="16"/>
              </w:rPr>
              <w:t>BUFR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REF VALUE</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CREX UNIT</w:t>
            </w:r>
          </w:p>
        </w:tc>
        <w:tc>
          <w:tcPr>
            <w:tcW w:type="dxa" w:w="1514"/>
            <w:shd w:val="clear" w:color="auto" w:fill="D9D9D9"/>
          </w:tcPr>
          <w:p>
            <w:pPr>
              <w:spacing w:before="20" w:after="20"/>
            </w:pPr>
            <w:r/>
            <w:r>
              <w:rPr>
                <w:rFonts w:ascii="Verdana" w:hAnsi="Verdana"/>
                <w:b w:val="0"/>
                <w:sz w:val="16"/>
              </w:rPr>
              <w:t>SCALE</w:t>
            </w:r>
          </w:p>
        </w:tc>
        <w:tc>
          <w:tcPr>
            <w:tcW w:type="dxa" w:w="1514"/>
            <w:shd w:val="clear" w:color="auto" w:fill="D9D9D9"/>
          </w:tcPr>
          <w:p>
            <w:pPr>
              <w:spacing w:before="20" w:after="20"/>
            </w:pPr>
            <w:r/>
            <w:r>
              <w:rPr>
                <w:rFonts w:ascii="Verdana" w:hAnsi="Verdana"/>
                <w:b w:val="0"/>
                <w:sz w:val="16"/>
              </w:rPr>
              <w:t>CHARS</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0 01 001</w:t>
            </w:r>
          </w:p>
        </w:tc>
        <w:tc>
          <w:tcPr>
            <w:tcW w:type="dxa" w:w="1514"/>
          </w:tcPr>
          <w:p>
            <w:pPr>
              <w:spacing w:before="20" w:after="20"/>
            </w:pPr>
            <w:r/>
            <w:r>
              <w:rPr>
                <w:rFonts w:ascii="Verdana" w:hAnsi="Verdana"/>
                <w:b w:val="0"/>
                <w:sz w:val="16"/>
              </w:rPr>
              <w:t>WMO block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0 01 002</w:t>
            </w:r>
          </w:p>
        </w:tc>
        <w:tc>
          <w:tcPr>
            <w:tcW w:type="dxa" w:w="1514"/>
          </w:tcPr>
          <w:p>
            <w:pPr>
              <w:spacing w:before="20" w:after="20"/>
            </w:pPr>
            <w:r/>
            <w:r>
              <w:rPr>
                <w:rFonts w:ascii="Verdana" w:hAnsi="Verdana"/>
                <w:b w:val="0"/>
                <w:sz w:val="16"/>
              </w:rPr>
              <w:t>WMO station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0 01 003</w:t>
            </w:r>
          </w:p>
        </w:tc>
        <w:tc>
          <w:tcPr>
            <w:tcW w:type="dxa" w:w="1514"/>
          </w:tcPr>
          <w:p>
            <w:pPr>
              <w:spacing w:before="20" w:after="20"/>
            </w:pPr>
            <w:r/>
            <w:r>
              <w:rPr>
                <w:rFonts w:ascii="Verdana" w:hAnsi="Verdana"/>
                <w:b w:val="0"/>
                <w:sz w:val="16"/>
              </w:rPr>
              <w:t>WMO Region number/geographical area</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0 01 004</w:t>
            </w:r>
          </w:p>
        </w:tc>
        <w:tc>
          <w:tcPr>
            <w:tcW w:type="dxa" w:w="1514"/>
          </w:tcPr>
          <w:p>
            <w:pPr>
              <w:spacing w:before="20" w:after="20"/>
            </w:pPr>
            <w:r/>
            <w:r>
              <w:rPr>
                <w:rFonts w:ascii="Verdana" w:hAnsi="Verdana"/>
                <w:b w:val="0"/>
                <w:sz w:val="16"/>
              </w:rPr>
              <w:t>WMO Region sub-area</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42: Range of value for parameter 0 04 015 limited from -99 to 99; CREX common sequence D 06 019 being the original sequence with 2 characters only for the corresponding descriptor.</w:t>
            </w:r>
          </w:p>
        </w:tc>
      </w:tr>
      <w:tr>
        <w:trPr>
          <w:cantSplit/>
        </w:trPr>
        <w:tc>
          <w:tcPr>
            <w:tcW w:type="dxa" w:w="1514"/>
          </w:tcPr>
          <w:p>
            <w:pPr>
              <w:spacing w:before="20" w:after="20"/>
            </w:pPr>
            <w:r/>
            <w:r>
              <w:rPr>
                <w:rFonts w:ascii="Verdana" w:hAnsi="Verdana"/>
                <w:b w:val="0"/>
                <w:sz w:val="16"/>
              </w:rPr>
              <w:t>0 01 005</w:t>
            </w:r>
          </w:p>
        </w:tc>
        <w:tc>
          <w:tcPr>
            <w:tcW w:type="dxa" w:w="1514"/>
          </w:tcPr>
          <w:p>
            <w:pPr>
              <w:spacing w:before="20" w:after="20"/>
            </w:pPr>
            <w:r/>
            <w:r>
              <w:rPr>
                <w:rFonts w:ascii="Verdana" w:hAnsi="Verdana"/>
                <w:b w:val="0"/>
                <w:sz w:val="16"/>
              </w:rPr>
              <w:t>Buoy/platform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0 01 006</w:t>
            </w:r>
          </w:p>
        </w:tc>
        <w:tc>
          <w:tcPr>
            <w:tcW w:type="dxa" w:w="1514"/>
          </w:tcPr>
          <w:p>
            <w:pPr>
              <w:spacing w:before="20" w:after="20"/>
            </w:pPr>
            <w:r/>
            <w:r>
              <w:rPr>
                <w:rFonts w:ascii="Verdana" w:hAnsi="Verdana"/>
                <w:b w:val="0"/>
                <w:sz w:val="16"/>
              </w:rPr>
              <w:t>Aircraft flight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0 01 007</w:t>
            </w:r>
          </w:p>
        </w:tc>
        <w:tc>
          <w:tcPr>
            <w:tcW w:type="dxa" w:w="1514"/>
          </w:tcPr>
          <w:p>
            <w:pPr>
              <w:spacing w:before="20" w:after="20"/>
            </w:pPr>
            <w:r/>
            <w:r>
              <w:rPr>
                <w:rFonts w:ascii="Verdana" w:hAnsi="Verdana"/>
                <w:b w:val="0"/>
                <w:sz w:val="16"/>
              </w:rPr>
              <w:t>Satellite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0 01 008</w:t>
            </w:r>
          </w:p>
        </w:tc>
        <w:tc>
          <w:tcPr>
            <w:tcW w:type="dxa" w:w="1514"/>
          </w:tcPr>
          <w:p>
            <w:pPr>
              <w:spacing w:before="20" w:after="20"/>
            </w:pPr>
            <w:r/>
            <w:r>
              <w:rPr>
                <w:rFonts w:ascii="Verdana" w:hAnsi="Verdana"/>
                <w:b w:val="0"/>
                <w:sz w:val="16"/>
              </w:rPr>
              <w:t>Aircraft registration number or other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0 01 009</w:t>
            </w:r>
          </w:p>
        </w:tc>
        <w:tc>
          <w:tcPr>
            <w:tcW w:type="dxa" w:w="1514"/>
          </w:tcPr>
          <w:p>
            <w:pPr>
              <w:spacing w:before="20" w:after="20"/>
            </w:pPr>
            <w:r/>
            <w:r>
              <w:rPr>
                <w:rFonts w:ascii="Verdana" w:hAnsi="Verdana"/>
                <w:b w:val="0"/>
                <w:sz w:val="16"/>
              </w:rPr>
              <w:t>Type of commercial aircraft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0 01 010</w:t>
            </w:r>
          </w:p>
        </w:tc>
        <w:tc>
          <w:tcPr>
            <w:tcW w:type="dxa" w:w="1514"/>
          </w:tcPr>
          <w:p>
            <w:pPr>
              <w:spacing w:before="20" w:after="20"/>
            </w:pPr>
            <w:r/>
            <w:r>
              <w:rPr>
                <w:rFonts w:ascii="Verdana" w:hAnsi="Verdana"/>
                <w:b w:val="0"/>
                <w:sz w:val="16"/>
              </w:rPr>
              <w:t>Stationary buoy platform identifier; e.g. C-MAN buoys</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0 01 011</w:t>
            </w:r>
          </w:p>
        </w:tc>
        <w:tc>
          <w:tcPr>
            <w:tcW w:type="dxa" w:w="1514"/>
          </w:tcPr>
          <w:p>
            <w:pPr>
              <w:spacing w:before="20" w:after="20"/>
            </w:pPr>
            <w:r/>
            <w:r>
              <w:rPr>
                <w:rFonts w:ascii="Verdana" w:hAnsi="Verdana"/>
                <w:b w:val="0"/>
                <w:sz w:val="16"/>
              </w:rPr>
              <w:t>Ship or mobile land station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0 01 012</w:t>
            </w:r>
          </w:p>
        </w:tc>
        <w:tc>
          <w:tcPr>
            <w:tcW w:type="dxa" w:w="1514"/>
          </w:tcPr>
          <w:p>
            <w:pPr>
              <w:spacing w:before="20" w:after="20"/>
            </w:pPr>
            <w:r/>
            <w:r>
              <w:rPr>
                <w:rFonts w:ascii="Verdana" w:hAnsi="Verdana"/>
                <w:b w:val="0"/>
                <w:sz w:val="16"/>
              </w:rPr>
              <w:t>Direction of motion of moving observing platform</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degree true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125: Stationary position of ship shall be reported by 0 01 012 set to 0 and 0 01 013 set to 0. Course of ship unknown (Ds = 9) shall be reported by 0 01 012 set to 509. | Note 60: The time period indicates the duration in minutes over which the measurements have been averaged. The end of the time period is marked by the end of scan (see above).</w:t>
            </w:r>
          </w:p>
        </w:tc>
      </w:tr>
      <w:tr>
        <w:trPr>
          <w:cantSplit/>
        </w:trPr>
        <w:tc>
          <w:tcPr>
            <w:tcW w:type="dxa" w:w="1514"/>
          </w:tcPr>
          <w:p>
            <w:pPr>
              <w:spacing w:before="20" w:after="20"/>
            </w:pPr>
            <w:r/>
            <w:r>
              <w:rPr>
                <w:rFonts w:ascii="Verdana" w:hAnsi="Verdana"/>
                <w:b w:val="0"/>
                <w:sz w:val="16"/>
              </w:rPr>
              <w:t>0 01 013</w:t>
            </w:r>
          </w:p>
        </w:tc>
        <w:tc>
          <w:tcPr>
            <w:tcW w:type="dxa" w:w="1514"/>
          </w:tcPr>
          <w:p>
            <w:pPr>
              <w:spacing w:before="20" w:after="20"/>
            </w:pPr>
            <w:r/>
            <w:r>
              <w:rPr>
                <w:rFonts w:ascii="Verdana" w:hAnsi="Verdana"/>
                <w:b w:val="0"/>
                <w:sz w:val="16"/>
              </w:rPr>
              <w:t>Speed of motion of moving observing platform</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60: The time period indicates the duration in minutes over which the measurements have been averaged. The end of the time period is marked by the end of scan (see above). | Note 125: Stationary position of ship shall be reported by 0 01 012 set to 0 and 0 01 013 set to 0. Course of ship unknown (Ds = 9) shall be reported by 0 01 012 set to 509.</w:t>
            </w:r>
          </w:p>
        </w:tc>
      </w:tr>
      <w:tr>
        <w:trPr>
          <w:cantSplit/>
        </w:trPr>
        <w:tc>
          <w:tcPr>
            <w:tcW w:type="dxa" w:w="1514"/>
          </w:tcPr>
          <w:p>
            <w:pPr>
              <w:spacing w:before="20" w:after="20"/>
            </w:pPr>
            <w:r/>
            <w:r>
              <w:rPr>
                <w:rFonts w:ascii="Verdana" w:hAnsi="Verdana"/>
                <w:b w:val="0"/>
                <w:sz w:val="16"/>
              </w:rPr>
              <w:t>0 01 014</w:t>
            </w:r>
          </w:p>
        </w:tc>
        <w:tc>
          <w:tcPr>
            <w:tcW w:type="dxa" w:w="1514"/>
          </w:tcPr>
          <w:p>
            <w:pPr>
              <w:spacing w:before="20" w:after="20"/>
            </w:pPr>
            <w:r/>
            <w:r>
              <w:rPr>
                <w:rFonts w:ascii="Verdana" w:hAnsi="Verdana"/>
                <w:b w:val="0"/>
                <w:sz w:val="16"/>
              </w:rPr>
              <w:t>Platform drift speed (high precision)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0 01 015</w:t>
            </w:r>
          </w:p>
        </w:tc>
        <w:tc>
          <w:tcPr>
            <w:tcW w:type="dxa" w:w="1514"/>
          </w:tcPr>
          <w:p>
            <w:pPr>
              <w:spacing w:before="20" w:after="20"/>
            </w:pPr>
            <w:r/>
            <w:r>
              <w:rPr>
                <w:rFonts w:ascii="Verdana" w:hAnsi="Verdana"/>
                <w:b w:val="0"/>
                <w:sz w:val="16"/>
              </w:rPr>
              <w:t>Station or site name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0 01 016</w:t>
            </w:r>
          </w:p>
        </w:tc>
        <w:tc>
          <w:tcPr>
            <w:tcW w:type="dxa" w:w="1514"/>
          </w:tcPr>
          <w:p>
            <w:pPr>
              <w:spacing w:before="20" w:after="20"/>
            </w:pPr>
            <w:r/>
            <w:r>
              <w:rPr>
                <w:rFonts w:ascii="Verdana" w:hAnsi="Verdana"/>
                <w:b w:val="0"/>
                <w:sz w:val="16"/>
              </w:rPr>
              <w:t>Satellite sub-identifier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0 01 018</w:t>
            </w:r>
          </w:p>
        </w:tc>
        <w:tc>
          <w:tcPr>
            <w:tcW w:type="dxa" w:w="1514"/>
          </w:tcPr>
          <w:p>
            <w:pPr>
              <w:spacing w:before="20" w:after="20"/>
            </w:pPr>
            <w:r/>
            <w:r>
              <w:rPr>
                <w:rFonts w:ascii="Verdana" w:hAnsi="Verdana"/>
                <w:b w:val="0"/>
                <w:sz w:val="16"/>
              </w:rPr>
              <w:t>Short station or site name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0 01 019</w:t>
            </w:r>
          </w:p>
        </w:tc>
        <w:tc>
          <w:tcPr>
            <w:tcW w:type="dxa" w:w="1514"/>
          </w:tcPr>
          <w:p>
            <w:pPr>
              <w:spacing w:before="20" w:after="20"/>
            </w:pPr>
            <w:r/>
            <w:r>
              <w:rPr>
                <w:rFonts w:ascii="Verdana" w:hAnsi="Verdana"/>
                <w:b w:val="0"/>
                <w:sz w:val="16"/>
              </w:rPr>
              <w:t>Long station or site name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0 01 020</w:t>
            </w:r>
          </w:p>
        </w:tc>
        <w:tc>
          <w:tcPr>
            <w:tcW w:type="dxa" w:w="1514"/>
          </w:tcPr>
          <w:p>
            <w:pPr>
              <w:spacing w:before="20" w:after="20"/>
            </w:pPr>
            <w:r/>
            <w:r>
              <w:rPr>
                <w:rFonts w:ascii="Verdana" w:hAnsi="Verdana"/>
                <w:b w:val="0"/>
                <w:sz w:val="16"/>
              </w:rPr>
              <w:t>WMO Region sub-area</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0 01 021</w:t>
            </w:r>
          </w:p>
        </w:tc>
        <w:tc>
          <w:tcPr>
            <w:tcW w:type="dxa" w:w="1514"/>
          </w:tcPr>
          <w:p>
            <w:pPr>
              <w:spacing w:before="20" w:after="20"/>
            </w:pPr>
            <w:r/>
            <w:r>
              <w:rPr>
                <w:rFonts w:ascii="Verdana" w:hAnsi="Verdana"/>
                <w:b w:val="0"/>
                <w:sz w:val="16"/>
              </w:rPr>
              <w:t>Synoptic feature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0 01 022</w:t>
            </w:r>
          </w:p>
        </w:tc>
        <w:tc>
          <w:tcPr>
            <w:tcW w:type="dxa" w:w="1514"/>
          </w:tcPr>
          <w:p>
            <w:pPr>
              <w:spacing w:before="20" w:after="20"/>
            </w:pPr>
            <w:r/>
            <w:r>
              <w:rPr>
                <w:rFonts w:ascii="Verdana" w:hAnsi="Verdana"/>
                <w:b w:val="0"/>
                <w:sz w:val="16"/>
              </w:rPr>
              <w:t>Name of feature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28</w:t>
            </w:r>
          </w:p>
        </w:tc>
        <w:tc>
          <w:tcPr>
            <w:tcW w:type="dxa" w:w="1514"/>
          </w:tcPr>
          <w:p>
            <w:pPr>
              <w:spacing w:before="20" w:after="20"/>
            </w:pPr>
            <w:r/>
            <w:r>
              <w:rPr>
                <w:rFonts w:ascii="Verdana" w:hAnsi="Verdana"/>
                <w:b w:val="0"/>
                <w:sz w:val="16"/>
              </w:rPr>
              <w:t>Note 72: Time of launch shall be reported with the highest possible accuracy available. If the launch time is not available with second accuracy, the entry for seconds shall be set to zero.</w:t>
            </w:r>
          </w:p>
        </w:tc>
      </w:tr>
      <w:tr>
        <w:trPr>
          <w:cantSplit/>
        </w:trPr>
        <w:tc>
          <w:tcPr>
            <w:tcW w:type="dxa" w:w="1514"/>
          </w:tcPr>
          <w:p>
            <w:pPr>
              <w:spacing w:before="20" w:after="20"/>
            </w:pPr>
            <w:r/>
            <w:r>
              <w:rPr>
                <w:rFonts w:ascii="Verdana" w:hAnsi="Verdana"/>
                <w:b w:val="0"/>
                <w:sz w:val="16"/>
              </w:rPr>
              <w:t>0 01 023</w:t>
            </w:r>
          </w:p>
        </w:tc>
        <w:tc>
          <w:tcPr>
            <w:tcW w:type="dxa" w:w="1514"/>
          </w:tcPr>
          <w:p>
            <w:pPr>
              <w:spacing w:before="20" w:after="20"/>
            </w:pPr>
            <w:r/>
            <w:r>
              <w:rPr>
                <w:rFonts w:ascii="Verdana" w:hAnsi="Verdana"/>
                <w:b w:val="0"/>
                <w:sz w:val="16"/>
              </w:rPr>
              <w:t>Observation sequence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0 01 024</w:t>
            </w:r>
          </w:p>
        </w:tc>
        <w:tc>
          <w:tcPr>
            <w:tcW w:type="dxa" w:w="1514"/>
          </w:tcPr>
          <w:p>
            <w:pPr>
              <w:spacing w:before="20" w:after="20"/>
            </w:pPr>
            <w:r/>
            <w:r>
              <w:rPr>
                <w:rFonts w:ascii="Verdana" w:hAnsi="Verdana"/>
                <w:b w:val="0"/>
                <w:sz w:val="16"/>
              </w:rPr>
              <w:t>Wind speed source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0 01 025</w:t>
            </w:r>
          </w:p>
        </w:tc>
        <w:tc>
          <w:tcPr>
            <w:tcW w:type="dxa" w:w="1514"/>
          </w:tcPr>
          <w:p>
            <w:pPr>
              <w:spacing w:before="20" w:after="20"/>
            </w:pPr>
            <w:r/>
            <w:r>
              <w:rPr>
                <w:rFonts w:ascii="Verdana" w:hAnsi="Verdana"/>
                <w:b w:val="0"/>
                <w:sz w:val="16"/>
              </w:rPr>
              <w:t>Storm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148: The storm identifier (descriptor 0 01 025) has the following meaning: the first two characters shall be a numeric sequence number assigned by the originator of the message; the third character is a letter indicating the ocean basin where the storm is located, as follows:W NW Pacific OceanE NE Pacific Ocean to 140°WC NE Pacific Ocean 140°W - 180°WL N Atlantic Ocean, including Caribbean and Gulf of Mexico A N Arabian Sea B Bay of Bengal S S Indian Ocean P S Pacific Ocean F RSMC Nadi's zone in South Pacific U Australia O South China Sea T East China Sea There is no requirement that differing observers coordinate sequence numbers even though they both may be reporting the same storm.</w:t>
            </w:r>
          </w:p>
        </w:tc>
      </w:tr>
      <w:tr>
        <w:trPr>
          <w:cantSplit/>
        </w:trPr>
        <w:tc>
          <w:tcPr>
            <w:tcW w:type="dxa" w:w="1514"/>
          </w:tcPr>
          <w:p>
            <w:pPr>
              <w:spacing w:before="20" w:after="20"/>
            </w:pPr>
            <w:r/>
            <w:r>
              <w:rPr>
                <w:rFonts w:ascii="Verdana" w:hAnsi="Verdana"/>
                <w:b w:val="0"/>
                <w:sz w:val="16"/>
              </w:rPr>
              <w:t>0 01 026</w:t>
            </w:r>
          </w:p>
        </w:tc>
        <w:tc>
          <w:tcPr>
            <w:tcW w:type="dxa" w:w="1514"/>
          </w:tcPr>
          <w:p>
            <w:pPr>
              <w:spacing w:before="20" w:after="20"/>
            </w:pPr>
            <w:r/>
            <w:r>
              <w:rPr>
                <w:rFonts w:ascii="Verdana" w:hAnsi="Verdana"/>
                <w:b w:val="0"/>
                <w:sz w:val="16"/>
              </w:rPr>
              <w:t>WMO storm name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Note 43: Separation of single level satellite data into sets of BUFR messages helps compression and results inefficient data transmission and storage.</w:t>
            </w:r>
          </w:p>
        </w:tc>
      </w:tr>
      <w:tr>
        <w:trPr>
          <w:cantSplit/>
        </w:trPr>
        <w:tc>
          <w:tcPr>
            <w:tcW w:type="dxa" w:w="1514"/>
          </w:tcPr>
          <w:p>
            <w:pPr>
              <w:spacing w:before="20" w:after="20"/>
            </w:pPr>
            <w:r/>
            <w:r>
              <w:rPr>
                <w:rFonts w:ascii="Verdana" w:hAnsi="Verdana"/>
                <w:b w:val="0"/>
                <w:sz w:val="16"/>
              </w:rPr>
              <w:t>0 01 027</w:t>
            </w:r>
          </w:p>
        </w:tc>
        <w:tc>
          <w:tcPr>
            <w:tcW w:type="dxa" w:w="1514"/>
          </w:tcPr>
          <w:p>
            <w:pPr>
              <w:spacing w:before="20" w:after="20"/>
            </w:pPr>
            <w:r/>
            <w:r>
              <w:rPr>
                <w:rFonts w:ascii="Verdana" w:hAnsi="Verdana"/>
                <w:b w:val="0"/>
                <w:sz w:val="16"/>
              </w:rPr>
              <w:t>WMO long storm name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182: WMO long storm name (descriptor 0 01 027): the storm name "Nameless" shall be used in those cases where an identifiable tropical disturbance has not reached tropical storm strength and has not been assigned an official name.</w:t>
            </w:r>
          </w:p>
        </w:tc>
      </w:tr>
      <w:tr>
        <w:trPr>
          <w:cantSplit/>
        </w:trPr>
        <w:tc>
          <w:tcPr>
            <w:tcW w:type="dxa" w:w="1514"/>
          </w:tcPr>
          <w:p>
            <w:pPr>
              <w:spacing w:before="20" w:after="20"/>
            </w:pPr>
            <w:r/>
            <w:r>
              <w:rPr>
                <w:rFonts w:ascii="Verdana" w:hAnsi="Verdana"/>
                <w:b w:val="0"/>
                <w:sz w:val="16"/>
              </w:rPr>
              <w:t>0 01 028</w:t>
            </w:r>
          </w:p>
        </w:tc>
        <w:tc>
          <w:tcPr>
            <w:tcW w:type="dxa" w:w="1514"/>
          </w:tcPr>
          <w:p>
            <w:pPr>
              <w:spacing w:before="20" w:after="20"/>
            </w:pPr>
            <w:r/>
            <w:r>
              <w:rPr>
                <w:rFonts w:ascii="Verdana" w:hAnsi="Verdana"/>
                <w:b w:val="0"/>
                <w:sz w:val="16"/>
              </w:rPr>
              <w:t>Aerosol optical depth (AOD) source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0 01 029</w:t>
            </w:r>
          </w:p>
        </w:tc>
        <w:tc>
          <w:tcPr>
            <w:tcW w:type="dxa" w:w="1514"/>
          </w:tcPr>
          <w:p>
            <w:pPr>
              <w:spacing w:before="20" w:after="20"/>
            </w:pPr>
            <w:r/>
            <w:r>
              <w:rPr>
                <w:rFonts w:ascii="Verdana" w:hAnsi="Verdana"/>
                <w:b w:val="0"/>
                <w:sz w:val="16"/>
              </w:rPr>
              <w:t>SSI source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0 01 030</w:t>
            </w:r>
          </w:p>
        </w:tc>
        <w:tc>
          <w:tcPr>
            <w:tcW w:type="dxa" w:w="1514"/>
          </w:tcPr>
          <w:p>
            <w:pPr>
              <w:spacing w:before="20" w:after="20"/>
            </w:pPr>
            <w:r/>
            <w:r>
              <w:rPr>
                <w:rFonts w:ascii="Verdana" w:hAnsi="Verdana"/>
                <w:b w:val="0"/>
                <w:sz w:val="16"/>
              </w:rPr>
              <w:t>Numerical model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t>Note 153: The value of this feature could be a string of characters, which contain the name of the model and other useful elements such as the model mesh.</w:t>
            </w:r>
          </w:p>
        </w:tc>
      </w:tr>
      <w:tr>
        <w:trPr>
          <w:cantSplit/>
        </w:trPr>
        <w:tc>
          <w:tcPr>
            <w:tcW w:type="dxa" w:w="1514"/>
          </w:tcPr>
          <w:p>
            <w:pPr>
              <w:spacing w:before="20" w:after="20"/>
            </w:pPr>
            <w:r/>
            <w:r>
              <w:rPr>
                <w:rFonts w:ascii="Verdana" w:hAnsi="Verdana"/>
                <w:b w:val="0"/>
                <w:sz w:val="16"/>
              </w:rPr>
              <w:t>0 01 031</w:t>
            </w:r>
          </w:p>
        </w:tc>
        <w:tc>
          <w:tcPr>
            <w:tcW w:type="dxa" w:w="1514"/>
          </w:tcPr>
          <w:p>
            <w:pPr>
              <w:spacing w:before="20" w:after="20"/>
            </w:pPr>
            <w:r/>
            <w:r>
              <w:rPr>
                <w:rFonts w:ascii="Verdana" w:hAnsi="Verdana"/>
                <w:b w:val="0"/>
                <w:sz w:val="16"/>
              </w:rPr>
              <w:t>Identification of originating/generating centre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Note 44: Sequence 3 09 030 is deprecated because of incorrect usage of descriptor 0 04 015; sequence 3 09 031 should be used instead.</w:t>
            </w:r>
          </w:p>
        </w:tc>
      </w:tr>
      <w:tr>
        <w:trPr>
          <w:cantSplit/>
        </w:trPr>
        <w:tc>
          <w:tcPr>
            <w:tcW w:type="dxa" w:w="1514"/>
          </w:tcPr>
          <w:p>
            <w:pPr>
              <w:spacing w:before="20" w:after="20"/>
            </w:pPr>
            <w:r/>
            <w:r>
              <w:rPr>
                <w:rFonts w:ascii="Verdana" w:hAnsi="Verdana"/>
                <w:b w:val="0"/>
                <w:sz w:val="16"/>
              </w:rPr>
              <w:t>0 01 032</w:t>
            </w:r>
          </w:p>
        </w:tc>
        <w:tc>
          <w:tcPr>
            <w:tcW w:type="dxa" w:w="1514"/>
          </w:tcPr>
          <w:p>
            <w:pPr>
              <w:spacing w:before="20" w:after="20"/>
            </w:pPr>
            <w:r/>
            <w:r>
              <w:rPr>
                <w:rFonts w:ascii="Verdana" w:hAnsi="Verdana"/>
                <w:b w:val="0"/>
                <w:sz w:val="16"/>
              </w:rPr>
              <w:t>Generating application</w:t>
            </w:r>
          </w:p>
        </w:tc>
        <w:tc>
          <w:tcPr>
            <w:tcW w:type="dxa" w:w="1514"/>
          </w:tcPr>
          <w:p>
            <w:pPr>
              <w:spacing w:before="20" w:after="20"/>
            </w:pPr>
            <w:r/>
            <w:r>
              <w:rPr>
                <w:rFonts w:ascii="Verdana" w:hAnsi="Verdana"/>
                <w:sz w:val="16"/>
              </w:rPr>
              <w:t>Code table defined by originating/generating centre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Note 175: Where a centre other than the originating centre generates quality information, replacement or substitute values, and/or statistical information, the centre may be indicated by using 0 01 033. | Note 21: Front direction (towards which the front is moving) must always be given as it is needed for plotting purposes. A front direction with a front speed of zero would indicate a slow front. A value in the code table exists to represent a quasi-stationary front. | Note 38: n/a</w:t>
            </w:r>
          </w:p>
        </w:tc>
      </w:tr>
      <w:tr>
        <w:trPr>
          <w:cantSplit/>
        </w:trPr>
        <w:tc>
          <w:tcPr>
            <w:tcW w:type="dxa" w:w="1514"/>
          </w:tcPr>
          <w:p>
            <w:pPr>
              <w:spacing w:before="20" w:after="20"/>
            </w:pPr>
            <w:r/>
            <w:r>
              <w:rPr>
                <w:rFonts w:ascii="Verdana" w:hAnsi="Verdana"/>
                <w:b w:val="0"/>
                <w:sz w:val="16"/>
              </w:rPr>
              <w:t>0 01 033</w:t>
            </w:r>
          </w:p>
        </w:tc>
        <w:tc>
          <w:tcPr>
            <w:tcW w:type="dxa" w:w="1514"/>
          </w:tcPr>
          <w:p>
            <w:pPr>
              <w:spacing w:before="20" w:after="20"/>
            </w:pPr>
            <w:r/>
            <w:r>
              <w:rPr>
                <w:rFonts w:ascii="Verdana" w:hAnsi="Verdana"/>
                <w:b w:val="0"/>
                <w:sz w:val="16"/>
              </w:rPr>
              <w:t>Identification of originating/generating centre</w:t>
            </w:r>
          </w:p>
        </w:tc>
        <w:tc>
          <w:tcPr>
            <w:tcW w:type="dxa" w:w="1514"/>
          </w:tcPr>
          <w:p>
            <w:pPr>
              <w:spacing w:before="20" w:after="20"/>
            </w:pPr>
            <w:r/>
            <w:r>
              <w:rPr>
                <w:rFonts w:ascii="Verdana" w:hAnsi="Verdana"/>
                <w:sz w:val="16"/>
              </w:rPr>
              <w:t>Common Code table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Common Code table C-1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0 01 034</w:t>
            </w:r>
          </w:p>
        </w:tc>
        <w:tc>
          <w:tcPr>
            <w:tcW w:type="dxa" w:w="1514"/>
          </w:tcPr>
          <w:p>
            <w:pPr>
              <w:spacing w:before="20" w:after="20"/>
            </w:pPr>
            <w:r/>
            <w:r>
              <w:rPr>
                <w:rFonts w:ascii="Verdana" w:hAnsi="Verdana"/>
                <w:b w:val="0"/>
                <w:sz w:val="16"/>
              </w:rPr>
              <w:t>Identification of originating/generating sub-centre</w:t>
            </w:r>
          </w:p>
        </w:tc>
        <w:tc>
          <w:tcPr>
            <w:tcW w:type="dxa" w:w="1514"/>
          </w:tcPr>
          <w:p>
            <w:pPr>
              <w:spacing w:before="20" w:after="20"/>
            </w:pPr>
            <w:r/>
            <w:r>
              <w:rPr>
                <w:rFonts w:ascii="Verdana" w:hAnsi="Verdana"/>
                <w:sz w:val="16"/>
              </w:rPr>
              <w:t>Common Code table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Common Code table C-12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0 01 035</w:t>
            </w:r>
          </w:p>
        </w:tc>
        <w:tc>
          <w:tcPr>
            <w:tcW w:type="dxa" w:w="1514"/>
          </w:tcPr>
          <w:p>
            <w:pPr>
              <w:spacing w:before="20" w:after="20"/>
            </w:pPr>
            <w:r/>
            <w:r>
              <w:rPr>
                <w:rFonts w:ascii="Verdana" w:hAnsi="Verdana"/>
                <w:b w:val="0"/>
                <w:sz w:val="16"/>
              </w:rPr>
              <w:t>Originating centre</w:t>
            </w:r>
          </w:p>
        </w:tc>
        <w:tc>
          <w:tcPr>
            <w:tcW w:type="dxa" w:w="1514"/>
          </w:tcPr>
          <w:p>
            <w:pPr>
              <w:spacing w:before="20" w:after="20"/>
            </w:pPr>
            <w:r/>
            <w:r>
              <w:rPr>
                <w:rFonts w:ascii="Verdana" w:hAnsi="Verdana"/>
                <w:sz w:val="16"/>
              </w:rPr>
              <w:t>Common Code table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Common Code table C-11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0 01 036</w:t>
            </w:r>
          </w:p>
        </w:tc>
        <w:tc>
          <w:tcPr>
            <w:tcW w:type="dxa" w:w="1514"/>
          </w:tcPr>
          <w:p>
            <w:pPr>
              <w:spacing w:before="20" w:after="20"/>
            </w:pPr>
            <w:r/>
            <w:r>
              <w:rPr>
                <w:rFonts w:ascii="Verdana" w:hAnsi="Verdana"/>
                <w:b w:val="0"/>
                <w:sz w:val="16"/>
              </w:rPr>
              <w:t>Agency in charge of operating the observing platform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0 01 037</w:t>
            </w:r>
          </w:p>
        </w:tc>
        <w:tc>
          <w:tcPr>
            <w:tcW w:type="dxa" w:w="1514"/>
          </w:tcPr>
          <w:p>
            <w:pPr>
              <w:spacing w:before="20" w:after="20"/>
            </w:pPr>
            <w:r/>
            <w:r>
              <w:rPr>
                <w:rFonts w:ascii="Verdana" w:hAnsi="Verdana"/>
                <w:b w:val="0"/>
                <w:sz w:val="16"/>
              </w:rPr>
              <w:t>SIGMET sequence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0 01 038</w:t>
            </w:r>
          </w:p>
        </w:tc>
        <w:tc>
          <w:tcPr>
            <w:tcW w:type="dxa" w:w="1514"/>
          </w:tcPr>
          <w:p>
            <w:pPr>
              <w:spacing w:before="20" w:after="20"/>
            </w:pPr>
            <w:r/>
            <w:r>
              <w:rPr>
                <w:rFonts w:ascii="Verdana" w:hAnsi="Verdana"/>
                <w:b w:val="0"/>
                <w:sz w:val="16"/>
              </w:rPr>
              <w:t>Source of sea ice fraction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0 01 039</w:t>
            </w:r>
          </w:p>
        </w:tc>
        <w:tc>
          <w:tcPr>
            <w:tcW w:type="dxa" w:w="1514"/>
          </w:tcPr>
          <w:p>
            <w:pPr>
              <w:spacing w:before="20" w:after="20"/>
            </w:pPr>
            <w:r/>
            <w:r>
              <w:rPr>
                <w:rFonts w:ascii="Verdana" w:hAnsi="Verdana"/>
                <w:b w:val="0"/>
                <w:sz w:val="16"/>
              </w:rPr>
              <w:t>Graphical Area Forecast (GFA) sequence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0 01 040</w:t>
            </w:r>
          </w:p>
        </w:tc>
        <w:tc>
          <w:tcPr>
            <w:tcW w:type="dxa" w:w="1514"/>
          </w:tcPr>
          <w:p>
            <w:pPr>
              <w:spacing w:before="20" w:after="20"/>
            </w:pPr>
            <w:r/>
            <w:r>
              <w:rPr>
                <w:rFonts w:ascii="Verdana" w:hAnsi="Verdana"/>
                <w:b w:val="0"/>
                <w:sz w:val="16"/>
              </w:rPr>
              <w:t>Processing centre ID code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0 01 041</w:t>
            </w:r>
          </w:p>
        </w:tc>
        <w:tc>
          <w:tcPr>
            <w:tcW w:type="dxa" w:w="1514"/>
          </w:tcPr>
          <w:p>
            <w:pPr>
              <w:spacing w:before="20" w:after="20"/>
            </w:pPr>
            <w:r/>
            <w:r>
              <w:rPr>
                <w:rFonts w:ascii="Verdana" w:hAnsi="Verdana"/>
                <w:b w:val="0"/>
                <w:sz w:val="16"/>
              </w:rPr>
              <w:t>Absolute platform velocity - first component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pPr>
              <w:spacing w:before="20" w:after="20"/>
            </w:pPr>
            <w:r/>
            <w:r>
              <w:rPr>
                <w:rFonts w:ascii="Verdana" w:hAnsi="Verdana"/>
                <w:b w:val="0"/>
                <w:sz w:val="16"/>
              </w:rPr>
              <w:t>0 01 042</w:t>
            </w:r>
          </w:p>
        </w:tc>
        <w:tc>
          <w:tcPr>
            <w:tcW w:type="dxa" w:w="1514"/>
          </w:tcPr>
          <w:p>
            <w:pPr>
              <w:spacing w:before="20" w:after="20"/>
            </w:pPr>
            <w:r/>
            <w:r>
              <w:rPr>
                <w:rFonts w:ascii="Verdana" w:hAnsi="Verdana"/>
                <w:b w:val="0"/>
                <w:sz w:val="16"/>
              </w:rPr>
              <w:t>Absolute platform velocity - second component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pPr>
              <w:spacing w:before="20" w:after="20"/>
            </w:pPr>
            <w:r/>
            <w:r>
              <w:rPr>
                <w:rFonts w:ascii="Verdana" w:hAnsi="Verdana"/>
                <w:b w:val="0"/>
                <w:sz w:val="16"/>
              </w:rPr>
              <w:t>0 01 043</w:t>
            </w:r>
          </w:p>
        </w:tc>
        <w:tc>
          <w:tcPr>
            <w:tcW w:type="dxa" w:w="1514"/>
          </w:tcPr>
          <w:p>
            <w:pPr>
              <w:spacing w:before="20" w:after="20"/>
            </w:pPr>
            <w:r/>
            <w:r>
              <w:rPr>
                <w:rFonts w:ascii="Verdana" w:hAnsi="Verdana"/>
                <w:b w:val="0"/>
                <w:sz w:val="16"/>
              </w:rPr>
              <w:t>Absolute platform velocity - third component</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-1073741824</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t>Note 134: The components of absolute platform velocity (0 01 041, 0 01 042, 0 01 043) are defined as follows:- First component: From the Earth's centre to 0 degree longitude at the Equator: velocity of the platform along this line relative to the Earth's centre.- Second component: From the Earth's centre to 90 degrees East longitude at the Equator: velocity of the platform along this line relative to the Earth's centre.- Third component: From the Earth's centre to the north pole: velocity of the platform along this line relative to the Earth's centre. | Note 154: The values for descriptors 0 01 041, 0 01 042 and 0 01 043 have been chosen to be suitable for polar orbiting satellites in approximately Sun-synchronous orbits. Geostationary orbits would require greater data widths for distance and slightly less for speed. | Note 95: Left handed x, y and z axes have been chosen for descriptors 0 01 041, 0 01 042 and 0 01 043.</w:t>
            </w:r>
          </w:p>
        </w:tc>
      </w:tr>
      <w:tr>
        <w:trPr>
          <w:cantSplit/>
        </w:trPr>
        <w:tc>
          <w:tcPr>
            <w:tcW w:type="dxa" w:w="1514"/>
          </w:tcPr>
          <w:p>
            <w:pPr>
              <w:spacing w:before="20" w:after="20"/>
            </w:pPr>
            <w:r/>
            <w:r>
              <w:rPr>
                <w:rFonts w:ascii="Verdana" w:hAnsi="Verdana"/>
                <w:b w:val="0"/>
                <w:sz w:val="16"/>
              </w:rPr>
              <w:t>0 01 044</w:t>
            </w:r>
          </w:p>
        </w:tc>
        <w:tc>
          <w:tcPr>
            <w:tcW w:type="dxa" w:w="1514"/>
          </w:tcPr>
          <w:p>
            <w:pPr>
              <w:spacing w:before="20" w:after="20"/>
            </w:pPr>
            <w:r/>
            <w:r>
              <w:rPr>
                <w:rFonts w:ascii="Verdana" w:hAnsi="Verdana"/>
                <w:b w:val="0"/>
                <w:sz w:val="16"/>
              </w:rPr>
              <w:t>Standard generating application</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0 01 050</w:t>
            </w:r>
          </w:p>
        </w:tc>
        <w:tc>
          <w:tcPr>
            <w:tcW w:type="dxa" w:w="1514"/>
          </w:tcPr>
          <w:p>
            <w:pPr>
              <w:spacing w:before="20" w:after="20"/>
            </w:pPr>
            <w:r/>
            <w:r>
              <w:rPr>
                <w:rFonts w:ascii="Verdana" w:hAnsi="Verdana"/>
                <w:b w:val="0"/>
                <w:sz w:val="16"/>
              </w:rPr>
              <w:t>Platform transmitter ID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0 01 051</w:t>
            </w:r>
          </w:p>
        </w:tc>
        <w:tc>
          <w:tcPr>
            <w:tcW w:type="dxa" w:w="1514"/>
          </w:tcPr>
          <w:p>
            <w:pPr>
              <w:spacing w:before="20" w:after="20"/>
            </w:pPr>
            <w:r/>
            <w:r>
              <w:rPr>
                <w:rFonts w:ascii="Verdana" w:hAnsi="Verdana"/>
                <w:b w:val="0"/>
                <w:sz w:val="16"/>
              </w:rPr>
              <w:t>Platform transmitter ID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0 01 052</w:t>
            </w:r>
          </w:p>
        </w:tc>
        <w:tc>
          <w:tcPr>
            <w:tcW w:type="dxa" w:w="1514"/>
          </w:tcPr>
          <w:p>
            <w:pPr>
              <w:spacing w:before="20" w:after="20"/>
            </w:pPr>
            <w:r/>
            <w:r>
              <w:rPr>
                <w:rFonts w:ascii="Verdana" w:hAnsi="Verdana"/>
                <w:b w:val="0"/>
                <w:sz w:val="16"/>
              </w:rPr>
              <w:t>Platform transmitter ID</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0 01 053</w:t>
            </w:r>
          </w:p>
        </w:tc>
        <w:tc>
          <w:tcPr>
            <w:tcW w:type="dxa" w:w="1514"/>
          </w:tcPr>
          <w:p>
            <w:pPr>
              <w:spacing w:before="20" w:after="20"/>
            </w:pPr>
            <w:r/>
            <w:r>
              <w:rPr>
                <w:rFonts w:ascii="Verdana" w:hAnsi="Verdana"/>
                <w:b w:val="0"/>
                <w:sz w:val="16"/>
              </w:rPr>
              <w:t>Tsunameter report sequence number triggered by a tsunami event</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0 01 060</w:t>
            </w:r>
          </w:p>
        </w:tc>
        <w:tc>
          <w:tcPr>
            <w:tcW w:type="dxa" w:w="1514"/>
          </w:tcPr>
          <w:p>
            <w:pPr>
              <w:spacing w:before="20" w:after="20"/>
            </w:pPr>
            <w:r/>
            <w:r>
              <w:rPr>
                <w:rFonts w:ascii="Verdana" w:hAnsi="Verdana"/>
                <w:b w:val="0"/>
                <w:sz w:val="16"/>
              </w:rPr>
              <w:t>Aircraft reporting point (Beacon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0 01 062</w:t>
            </w:r>
          </w:p>
        </w:tc>
        <w:tc>
          <w:tcPr>
            <w:tcW w:type="dxa" w:w="1514"/>
          </w:tcPr>
          <w:p>
            <w:pPr>
              <w:spacing w:before="20" w:after="20"/>
            </w:pPr>
            <w:r/>
            <w:r>
              <w:rPr>
                <w:rFonts w:ascii="Verdana" w:hAnsi="Verdana"/>
                <w:b w:val="0"/>
                <w:sz w:val="16"/>
              </w:rPr>
              <w:t>Short ICAO location indicator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0 01 063</w:t>
            </w:r>
          </w:p>
        </w:tc>
        <w:tc>
          <w:tcPr>
            <w:tcW w:type="dxa" w:w="1514"/>
          </w:tcPr>
          <w:p>
            <w:pPr>
              <w:spacing w:before="20" w:after="20"/>
            </w:pPr>
            <w:r/>
            <w:r>
              <w:rPr>
                <w:rFonts w:ascii="Verdana" w:hAnsi="Verdana"/>
                <w:b w:val="0"/>
                <w:sz w:val="16"/>
              </w:rPr>
              <w:t>ICAO location indicator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0 01 064</w:t>
            </w:r>
          </w:p>
        </w:tc>
        <w:tc>
          <w:tcPr>
            <w:tcW w:type="dxa" w:w="1514"/>
          </w:tcPr>
          <w:p>
            <w:pPr>
              <w:spacing w:before="20" w:after="20"/>
            </w:pPr>
            <w:r/>
            <w:r>
              <w:rPr>
                <w:rFonts w:ascii="Verdana" w:hAnsi="Verdana"/>
                <w:b w:val="0"/>
                <w:sz w:val="16"/>
              </w:rPr>
              <w:t>Runway designator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0 01 065</w:t>
            </w:r>
          </w:p>
        </w:tc>
        <w:tc>
          <w:tcPr>
            <w:tcW w:type="dxa" w:w="1514"/>
          </w:tcPr>
          <w:p>
            <w:pPr>
              <w:spacing w:before="20" w:after="20"/>
            </w:pPr>
            <w:r/>
            <w:r>
              <w:rPr>
                <w:rFonts w:ascii="Verdana" w:hAnsi="Verdana"/>
                <w:b w:val="0"/>
                <w:sz w:val="16"/>
              </w:rPr>
              <w:t>ICAO region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0 01 075</w:t>
            </w:r>
          </w:p>
        </w:tc>
        <w:tc>
          <w:tcPr>
            <w:tcW w:type="dxa" w:w="1514"/>
          </w:tcPr>
          <w:p>
            <w:pPr>
              <w:spacing w:before="20" w:after="20"/>
            </w:pPr>
            <w:r/>
            <w:r>
              <w:rPr>
                <w:rFonts w:ascii="Verdana" w:hAnsi="Verdana"/>
                <w:b w:val="0"/>
                <w:sz w:val="16"/>
              </w:rPr>
              <w:t>Tide station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0 01 079</w:t>
            </w:r>
          </w:p>
        </w:tc>
        <w:tc>
          <w:tcPr>
            <w:tcW w:type="dxa" w:w="1514"/>
          </w:tcPr>
          <w:p>
            <w:pPr>
              <w:spacing w:before="20" w:after="20"/>
            </w:pPr>
            <w:r/>
            <w:r>
              <w:rPr>
                <w:rFonts w:ascii="Verdana" w:hAnsi="Verdana"/>
                <w:b w:val="0"/>
                <w:sz w:val="16"/>
              </w:rPr>
              <w:t>Unique identifier for the profile</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0 01 080</w:t>
            </w:r>
          </w:p>
        </w:tc>
        <w:tc>
          <w:tcPr>
            <w:tcW w:type="dxa" w:w="1514"/>
          </w:tcPr>
          <w:p>
            <w:pPr>
              <w:spacing w:before="20" w:after="20"/>
            </w:pPr>
            <w:r/>
            <w:r>
              <w:rPr>
                <w:rFonts w:ascii="Verdana" w:hAnsi="Verdana"/>
                <w:b w:val="0"/>
                <w:sz w:val="16"/>
              </w:rPr>
              <w:t>Ship line number according to SOOP</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0 01 081</w:t>
            </w:r>
          </w:p>
        </w:tc>
        <w:tc>
          <w:tcPr>
            <w:tcW w:type="dxa" w:w="1514"/>
          </w:tcPr>
          <w:p>
            <w:pPr>
              <w:spacing w:before="20" w:after="20"/>
            </w:pPr>
            <w:r/>
            <w:r>
              <w:rPr>
                <w:rFonts w:ascii="Verdana" w:hAnsi="Verdana"/>
                <w:b w:val="0"/>
                <w:sz w:val="16"/>
              </w:rPr>
              <w:t>Radiosonde serial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0 01 082</w:t>
            </w:r>
          </w:p>
        </w:tc>
        <w:tc>
          <w:tcPr>
            <w:tcW w:type="dxa" w:w="1514"/>
          </w:tcPr>
          <w:p>
            <w:pPr>
              <w:spacing w:before="20" w:after="20"/>
            </w:pPr>
            <w:r/>
            <w:r>
              <w:rPr>
                <w:rFonts w:ascii="Verdana" w:hAnsi="Verdana"/>
                <w:b w:val="0"/>
                <w:sz w:val="16"/>
              </w:rPr>
              <w:t>Radiosonde ascension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1514"/>
          </w:tcPr>
          <w:p>
            <w:pPr>
              <w:spacing w:before="20" w:after="20"/>
            </w:pPr>
            <w:r/>
            <w:r>
              <w:rPr>
                <w:rFonts w:ascii="Verdana" w:hAnsi="Verdana"/>
                <w:b w:val="0"/>
                <w:sz w:val="16"/>
              </w:rPr>
              <w:t>0 01 083</w:t>
            </w:r>
          </w:p>
        </w:tc>
        <w:tc>
          <w:tcPr>
            <w:tcW w:type="dxa" w:w="1514"/>
          </w:tcPr>
          <w:p>
            <w:pPr>
              <w:spacing w:before="20" w:after="20"/>
            </w:pPr>
            <w:r/>
            <w:r>
              <w:rPr>
                <w:rFonts w:ascii="Verdana" w:hAnsi="Verdana"/>
                <w:b w:val="0"/>
                <w:sz w:val="16"/>
              </w:rPr>
              <w:t>Radiosonde release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Note 45: Some types of stations do not have the ability to identify the surface condition accurately. They can only report conditions such as "not dry" or "glazed". The code table for road surface conditions has been adjusted accordingly.</w:t>
            </w:r>
          </w:p>
        </w:tc>
      </w:tr>
      <w:tr>
        <w:trPr>
          <w:cantSplit/>
        </w:trPr>
        <w:tc>
          <w:tcPr>
            <w:tcW w:type="dxa" w:w="1514"/>
          </w:tcPr>
          <w:p>
            <w:pPr>
              <w:spacing w:before="20" w:after="20"/>
            </w:pPr>
            <w:r/>
            <w:r>
              <w:rPr>
                <w:rFonts w:ascii="Verdana" w:hAnsi="Verdana"/>
                <w:b w:val="0"/>
                <w:sz w:val="16"/>
              </w:rPr>
              <w:t>0 01 085</w:t>
            </w:r>
          </w:p>
        </w:tc>
        <w:tc>
          <w:tcPr>
            <w:tcW w:type="dxa" w:w="1514"/>
          </w:tcPr>
          <w:p>
            <w:pPr>
              <w:spacing w:before="20" w:after="20"/>
            </w:pPr>
            <w:r/>
            <w:r>
              <w:rPr>
                <w:rFonts w:ascii="Verdana" w:hAnsi="Verdana"/>
                <w:b w:val="0"/>
                <w:sz w:val="16"/>
              </w:rPr>
              <w:t>Observing platform manufacturer's model</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0 01 086</w:t>
            </w:r>
          </w:p>
        </w:tc>
        <w:tc>
          <w:tcPr>
            <w:tcW w:type="dxa" w:w="1514"/>
          </w:tcPr>
          <w:p>
            <w:pPr>
              <w:spacing w:before="20" w:after="20"/>
            </w:pPr>
            <w:r/>
            <w:r>
              <w:rPr>
                <w:rFonts w:ascii="Verdana" w:hAnsi="Verdana"/>
                <w:b w:val="0"/>
                <w:sz w:val="16"/>
              </w:rPr>
              <w:t>Observing platform manufacturer's serial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256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0 01 087</w:t>
            </w:r>
          </w:p>
        </w:tc>
        <w:tc>
          <w:tcPr>
            <w:tcW w:type="dxa" w:w="1514"/>
          </w:tcPr>
          <w:p>
            <w:pPr>
              <w:spacing w:before="20" w:after="20"/>
            </w:pPr>
            <w:r/>
            <w:r>
              <w:rPr>
                <w:rFonts w:ascii="Verdana" w:hAnsi="Verdana"/>
                <w:b w:val="0"/>
                <w:sz w:val="16"/>
              </w:rPr>
              <w:t>WMO marine observing platform extended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23</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0 01 090</w:t>
            </w:r>
          </w:p>
        </w:tc>
        <w:tc>
          <w:tcPr>
            <w:tcW w:type="dxa" w:w="1514"/>
          </w:tcPr>
          <w:p>
            <w:pPr>
              <w:spacing w:before="20" w:after="20"/>
            </w:pPr>
            <w:r/>
            <w:r>
              <w:rPr>
                <w:rFonts w:ascii="Verdana" w:hAnsi="Verdana"/>
                <w:b w:val="0"/>
                <w:sz w:val="16"/>
              </w:rPr>
              <w:t>Technique for making up initial perturbations</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0 01 091</w:t>
            </w:r>
          </w:p>
        </w:tc>
        <w:tc>
          <w:tcPr>
            <w:tcW w:type="dxa" w:w="1514"/>
          </w:tcPr>
          <w:p>
            <w:pPr>
              <w:spacing w:before="20" w:after="20"/>
            </w:pPr>
            <w:r/>
            <w:r>
              <w:rPr>
                <w:rFonts w:ascii="Verdana" w:hAnsi="Verdana"/>
                <w:b w:val="0"/>
                <w:sz w:val="16"/>
              </w:rPr>
              <w:t>Ensemble member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0 01 092</w:t>
            </w:r>
          </w:p>
        </w:tc>
        <w:tc>
          <w:tcPr>
            <w:tcW w:type="dxa" w:w="1514"/>
          </w:tcPr>
          <w:p>
            <w:pPr>
              <w:spacing w:before="20" w:after="20"/>
            </w:pPr>
            <w:r/>
            <w:r>
              <w:rPr>
                <w:rFonts w:ascii="Verdana" w:hAnsi="Verdana"/>
                <w:b w:val="0"/>
                <w:sz w:val="16"/>
              </w:rPr>
              <w:t>Type of ensemble forecast</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0 01 093</w:t>
            </w:r>
          </w:p>
        </w:tc>
        <w:tc>
          <w:tcPr>
            <w:tcW w:type="dxa" w:w="1514"/>
          </w:tcPr>
          <w:p>
            <w:pPr>
              <w:spacing w:before="20" w:after="20"/>
            </w:pPr>
            <w:r/>
            <w:r>
              <w:rPr>
                <w:rFonts w:ascii="Verdana" w:hAnsi="Verdana"/>
                <w:b w:val="0"/>
                <w:sz w:val="16"/>
              </w:rPr>
              <w:t>Balloon lot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96</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0 01 094</w:t>
            </w:r>
          </w:p>
        </w:tc>
        <w:tc>
          <w:tcPr>
            <w:tcW w:type="dxa" w:w="1514"/>
          </w:tcPr>
          <w:p>
            <w:pPr>
              <w:spacing w:before="20" w:after="20"/>
            </w:pPr>
            <w:r/>
            <w:r>
              <w:rPr>
                <w:rFonts w:ascii="Verdana" w:hAnsi="Verdana"/>
                <w:b w:val="0"/>
                <w:sz w:val="16"/>
              </w:rPr>
              <w:t>WBAN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17</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0 01 095</w:t>
            </w:r>
          </w:p>
        </w:tc>
        <w:tc>
          <w:tcPr>
            <w:tcW w:type="dxa" w:w="1514"/>
          </w:tcPr>
          <w:p>
            <w:pPr>
              <w:spacing w:before="20" w:after="20"/>
            </w:pPr>
            <w:r/>
            <w:r>
              <w:rPr>
                <w:rFonts w:ascii="Verdana" w:hAnsi="Verdana"/>
                <w:b w:val="0"/>
                <w:sz w:val="16"/>
              </w:rPr>
              <w:t>Observer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0 01 096</w:t>
            </w:r>
          </w:p>
        </w:tc>
        <w:tc>
          <w:tcPr>
            <w:tcW w:type="dxa" w:w="1514"/>
          </w:tcPr>
          <w:p>
            <w:pPr>
              <w:spacing w:before="20" w:after="20"/>
            </w:pPr>
            <w:r/>
            <w:r>
              <w:rPr>
                <w:rFonts w:ascii="Verdana" w:hAnsi="Verdana"/>
                <w:b w:val="0"/>
                <w:sz w:val="16"/>
              </w:rPr>
              <w:t>Station acquisition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0 01 099</w:t>
            </w:r>
          </w:p>
        </w:tc>
        <w:tc>
          <w:tcPr>
            <w:tcW w:type="dxa" w:w="1514"/>
          </w:tcPr>
          <w:p>
            <w:pPr>
              <w:spacing w:before="20" w:after="20"/>
            </w:pPr>
            <w:r/>
            <w:r>
              <w:rPr>
                <w:rFonts w:ascii="Verdana" w:hAnsi="Verdana"/>
                <w:b w:val="0"/>
                <w:sz w:val="16"/>
              </w:rPr>
              <w:t>Unique product definition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0 01 101</w:t>
            </w:r>
          </w:p>
        </w:tc>
        <w:tc>
          <w:tcPr>
            <w:tcW w:type="dxa" w:w="1514"/>
          </w:tcPr>
          <w:p>
            <w:pPr>
              <w:spacing w:before="20" w:after="20"/>
            </w:pPr>
            <w:r/>
            <w:r>
              <w:rPr>
                <w:rFonts w:ascii="Verdana" w:hAnsi="Verdana"/>
                <w:b w:val="0"/>
                <w:sz w:val="16"/>
              </w:rPr>
              <w:t>State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0 01 102</w:t>
            </w:r>
          </w:p>
        </w:tc>
        <w:tc>
          <w:tcPr>
            <w:tcW w:type="dxa" w:w="1514"/>
          </w:tcPr>
          <w:p>
            <w:pPr>
              <w:spacing w:before="20" w:after="20"/>
            </w:pPr>
            <w:r/>
            <w:r>
              <w:rPr>
                <w:rFonts w:ascii="Verdana" w:hAnsi="Verdana"/>
                <w:b w:val="0"/>
                <w:sz w:val="16"/>
              </w:rPr>
              <w:t>National station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0 01 103</w:t>
            </w:r>
          </w:p>
        </w:tc>
        <w:tc>
          <w:tcPr>
            <w:tcW w:type="dxa" w:w="1514"/>
          </w:tcPr>
          <w:p>
            <w:pPr>
              <w:spacing w:before="20" w:after="20"/>
            </w:pPr>
            <w:r/>
            <w:r>
              <w:rPr>
                <w:rFonts w:ascii="Verdana" w:hAnsi="Verdana"/>
                <w:b w:val="0"/>
                <w:sz w:val="16"/>
              </w:rPr>
              <w:t>IMO Number. Unique Lloyd's register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0 01 104</w:t>
            </w:r>
          </w:p>
        </w:tc>
        <w:tc>
          <w:tcPr>
            <w:tcW w:type="dxa" w:w="1514"/>
          </w:tcPr>
          <w:p>
            <w:pPr>
              <w:spacing w:before="20" w:after="20"/>
            </w:pPr>
            <w:r/>
            <w:r>
              <w:rPr>
                <w:rFonts w:ascii="Verdana" w:hAnsi="Verdana"/>
                <w:b w:val="0"/>
                <w:sz w:val="16"/>
              </w:rPr>
              <w:t>State/federal state identifier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0 01 105</w:t>
            </w:r>
          </w:p>
        </w:tc>
        <w:tc>
          <w:tcPr>
            <w:tcW w:type="dxa" w:w="1514"/>
          </w:tcPr>
          <w:p>
            <w:pPr>
              <w:spacing w:before="20" w:after="20"/>
            </w:pPr>
            <w:r/>
            <w:r>
              <w:rPr>
                <w:rFonts w:ascii="Verdana" w:hAnsi="Verdana"/>
                <w:b w:val="0"/>
                <w:sz w:val="16"/>
              </w:rPr>
              <w:t>Highway designator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0 01 106</w:t>
            </w:r>
          </w:p>
        </w:tc>
        <w:tc>
          <w:tcPr>
            <w:tcW w:type="dxa" w:w="1514"/>
          </w:tcPr>
          <w:p>
            <w:pPr>
              <w:spacing w:before="20" w:after="20"/>
            </w:pPr>
            <w:r/>
            <w:r>
              <w:rPr>
                <w:rFonts w:ascii="Verdana" w:hAnsi="Verdana"/>
                <w:b w:val="0"/>
                <w:sz w:val="16"/>
              </w:rPr>
              <w:t>Location along highway as indicated by position markers</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0 01 110</w:t>
            </w:r>
          </w:p>
        </w:tc>
        <w:tc>
          <w:tcPr>
            <w:tcW w:type="dxa" w:w="1514"/>
          </w:tcPr>
          <w:p>
            <w:pPr>
              <w:spacing w:before="20" w:after="20"/>
            </w:pPr>
            <w:r/>
            <w:r>
              <w:rPr>
                <w:rFonts w:ascii="Verdana" w:hAnsi="Verdana"/>
                <w:b w:val="0"/>
                <w:sz w:val="16"/>
              </w:rPr>
              <w:t>Aircraft tail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0 01 111</w:t>
            </w:r>
          </w:p>
        </w:tc>
        <w:tc>
          <w:tcPr>
            <w:tcW w:type="dxa" w:w="1514"/>
          </w:tcPr>
          <w:p>
            <w:pPr>
              <w:spacing w:before="20" w:after="20"/>
            </w:pPr>
            <w:r/>
            <w:r>
              <w:rPr>
                <w:rFonts w:ascii="Verdana" w:hAnsi="Verdana"/>
                <w:b w:val="0"/>
                <w:sz w:val="16"/>
              </w:rPr>
              <w:t>Origination airport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0 01 112</w:t>
            </w:r>
          </w:p>
        </w:tc>
        <w:tc>
          <w:tcPr>
            <w:tcW w:type="dxa" w:w="1514"/>
          </w:tcPr>
          <w:p>
            <w:pPr>
              <w:spacing w:before="20" w:after="20"/>
            </w:pPr>
            <w:r/>
            <w:r>
              <w:rPr>
                <w:rFonts w:ascii="Verdana" w:hAnsi="Verdana"/>
                <w:b w:val="0"/>
                <w:sz w:val="16"/>
              </w:rPr>
              <w:t>Destination airport</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0 01 113</w:t>
            </w:r>
          </w:p>
        </w:tc>
        <w:tc>
          <w:tcPr>
            <w:tcW w:type="dxa" w:w="1514"/>
          </w:tcPr>
          <w:p>
            <w:pPr>
              <w:spacing w:before="20" w:after="20"/>
            </w:pPr>
            <w:r/>
            <w:r>
              <w:rPr>
                <w:rFonts w:ascii="Verdana" w:hAnsi="Verdana"/>
                <w:b w:val="0"/>
                <w:sz w:val="16"/>
              </w:rPr>
              <w:t>Template version number defined by originating centre</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0 01 114</w:t>
            </w:r>
          </w:p>
        </w:tc>
        <w:tc>
          <w:tcPr>
            <w:tcW w:type="dxa" w:w="1514"/>
          </w:tcPr>
          <w:p>
            <w:pPr>
              <w:spacing w:before="20" w:after="20"/>
            </w:pPr>
            <w:r/>
            <w:r>
              <w:rPr>
                <w:rFonts w:ascii="Verdana" w:hAnsi="Verdana"/>
                <w:b w:val="0"/>
                <w:sz w:val="16"/>
              </w:rPr>
              <w:t>Encrypted ship or mobile land station identifier (base64 encoding)</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352</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0 01 115</w:t>
            </w:r>
          </w:p>
        </w:tc>
        <w:tc>
          <w:tcPr>
            <w:tcW w:type="dxa" w:w="1514"/>
          </w:tcPr>
          <w:p>
            <w:pPr>
              <w:spacing w:before="20" w:after="20"/>
            </w:pPr>
            <w:r/>
            <w:r>
              <w:rPr>
                <w:rFonts w:ascii="Verdana" w:hAnsi="Verdana"/>
                <w:b w:val="0"/>
                <w:sz w:val="16"/>
              </w:rPr>
              <w:t>Identifier of the cruise or mission under which the data were collected</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160</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0 01 124</w:t>
            </w:r>
          </w:p>
        </w:tc>
        <w:tc>
          <w:tcPr>
            <w:tcW w:type="dxa" w:w="1514"/>
          </w:tcPr>
          <w:p>
            <w:pPr>
              <w:spacing w:before="20" w:after="20"/>
            </w:pPr>
            <w:r/>
            <w:r>
              <w:rPr>
                <w:rFonts w:ascii="Verdana" w:hAnsi="Verdana"/>
                <w:b w:val="0"/>
                <w:sz w:val="16"/>
              </w:rPr>
              <w:t>Grid point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0 01 125</w:t>
            </w:r>
          </w:p>
        </w:tc>
        <w:tc>
          <w:tcPr>
            <w:tcW w:type="dxa" w:w="1514"/>
          </w:tcPr>
          <w:p>
            <w:pPr>
              <w:spacing w:before="20" w:after="20"/>
            </w:pPr>
            <w:r/>
            <w:r>
              <w:rPr>
                <w:rFonts w:ascii="Verdana" w:hAnsi="Verdana"/>
                <w:b w:val="0"/>
                <w:sz w:val="16"/>
              </w:rPr>
              <w:t>WIGOS identifier series</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0 01 126</w:t>
            </w:r>
          </w:p>
        </w:tc>
        <w:tc>
          <w:tcPr>
            <w:tcW w:type="dxa" w:w="1514"/>
          </w:tcPr>
          <w:p>
            <w:pPr>
              <w:spacing w:before="20" w:after="20"/>
            </w:pPr>
            <w:r/>
            <w:r>
              <w:rPr>
                <w:rFonts w:ascii="Verdana" w:hAnsi="Verdana"/>
                <w:b w:val="0"/>
                <w:sz w:val="16"/>
              </w:rPr>
              <w:t>WIGOS issuer of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0 01 127</w:t>
            </w:r>
          </w:p>
        </w:tc>
        <w:tc>
          <w:tcPr>
            <w:tcW w:type="dxa" w:w="1514"/>
          </w:tcPr>
          <w:p>
            <w:pPr>
              <w:spacing w:before="20" w:after="20"/>
            </w:pPr>
            <w:r/>
            <w:r>
              <w:rPr>
                <w:rFonts w:ascii="Verdana" w:hAnsi="Verdana"/>
                <w:b w:val="0"/>
                <w:sz w:val="16"/>
              </w:rPr>
              <w:t>WIGOS issue number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0 01 128</w:t>
            </w:r>
          </w:p>
        </w:tc>
        <w:tc>
          <w:tcPr>
            <w:tcW w:type="dxa" w:w="1514"/>
          </w:tcPr>
          <w:p>
            <w:pPr>
              <w:spacing w:before="20" w:after="20"/>
            </w:pPr>
            <w:r/>
            <w:r>
              <w:rPr>
                <w:rFonts w:ascii="Verdana" w:hAnsi="Verdana"/>
                <w:b w:val="0"/>
                <w:sz w:val="16"/>
              </w:rPr>
              <w:t>WIGOS local identifier (character)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sz w:val="16"/>
              </w:rPr>
              <w:t>Character</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0 01 130</w:t>
            </w:r>
          </w:p>
        </w:tc>
        <w:tc>
          <w:tcPr>
            <w:tcW w:type="dxa" w:w="1514"/>
          </w:tcPr>
          <w:p>
            <w:pPr>
              <w:spacing w:before="20" w:after="20"/>
            </w:pPr>
            <w:r/>
            <w:r>
              <w:rPr>
                <w:rFonts w:ascii="Verdana" w:hAnsi="Verdana"/>
                <w:b w:val="0"/>
                <w:sz w:val="16"/>
              </w:rPr>
              <w:t>Storm identifier (long)</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32</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0 01 144</w:t>
            </w:r>
          </w:p>
        </w:tc>
        <w:tc>
          <w:tcPr>
            <w:tcW w:type="dxa" w:w="1514"/>
          </w:tcPr>
          <w:p>
            <w:pPr>
              <w:spacing w:before="20" w:after="20"/>
            </w:pPr>
            <w:r/>
            <w:r>
              <w:rPr>
                <w:rFonts w:ascii="Verdana" w:hAnsi="Verdana"/>
                <w:b w:val="0"/>
                <w:sz w:val="16"/>
              </w:rPr>
              <w:t>Snapshot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0 01 145</w:t>
            </w:r>
          </w:p>
        </w:tc>
        <w:tc>
          <w:tcPr>
            <w:tcW w:type="dxa" w:w="1514"/>
          </w:tcPr>
          <w:p>
            <w:pPr>
              <w:spacing w:before="20" w:after="20"/>
            </w:pPr>
            <w:r/>
            <w:r>
              <w:rPr>
                <w:rFonts w:ascii="Verdana" w:hAnsi="Verdana"/>
                <w:b w:val="0"/>
                <w:sz w:val="16"/>
              </w:rPr>
              <w:t>Light source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t>20</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7</w:t>
            </w:r>
          </w:p>
        </w:tc>
        <w:tc>
          <w:tcPr>
            <w:tcW w:type="dxa" w:w="1514"/>
          </w:tcPr>
          <w:p>
            <w:pPr>
              <w:spacing w:before="20" w:after="20"/>
            </w:pPr>
            <w:r/>
            <w:r>
              <w:rPr>
                <w:rFonts w:ascii="Verdana" w:hAnsi="Verdana"/>
                <w:b w:val="0"/>
                <w:sz w:val="16"/>
              </w:rPr>
              <w:t>Note 185: Positive value of descriptor 0 01 145 corresponds to Hipparcos identifier; 0 is Sun, -2 is Venus, -4 is Mars, -5 is Jupiter, -6 is Saturn, -7 is Earth's moon, and -8 is Bright limb.</w:t>
            </w:r>
          </w:p>
        </w:tc>
      </w:tr>
      <w:tr>
        <w:trPr>
          <w:cantSplit/>
        </w:trPr>
        <w:tc>
          <w:tcPr>
            <w:tcW w:type="dxa" w:w="1514"/>
          </w:tcPr>
          <w:p>
            <w:pPr>
              <w:spacing w:before="20" w:after="20"/>
            </w:pPr>
            <w:r/>
            <w:r>
              <w:rPr>
                <w:rFonts w:ascii="Verdana" w:hAnsi="Verdana"/>
                <w:b w:val="0"/>
                <w:sz w:val="16"/>
              </w:rPr>
              <w:t>0 01 150</w:t>
            </w:r>
          </w:p>
        </w:tc>
        <w:tc>
          <w:tcPr>
            <w:tcW w:type="dxa" w:w="1514"/>
          </w:tcPr>
          <w:p>
            <w:pPr>
              <w:spacing w:before="20" w:after="20"/>
            </w:pPr>
            <w:r/>
            <w:r>
              <w:rPr>
                <w:rFonts w:ascii="Verdana" w:hAnsi="Verdana"/>
                <w:b w:val="0"/>
                <w:sz w:val="16"/>
              </w:rPr>
              <w:t>Coordinate reference system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0 01 151</w:t>
            </w:r>
          </w:p>
        </w:tc>
        <w:tc>
          <w:tcPr>
            <w:tcW w:type="dxa" w:w="1514"/>
          </w:tcPr>
          <w:p>
            <w:pPr>
              <w:spacing w:before="20" w:after="20"/>
            </w:pPr>
            <w:r/>
            <w:r>
              <w:rPr>
                <w:rFonts w:ascii="Verdana" w:hAnsi="Verdana"/>
                <w:b w:val="0"/>
                <w:sz w:val="16"/>
              </w:rPr>
              <w:t>Fixed mean sea-level reference datum</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0 01 152</w:t>
            </w:r>
          </w:p>
        </w:tc>
        <w:tc>
          <w:tcPr>
            <w:tcW w:type="dxa" w:w="1514"/>
          </w:tcPr>
          <w:p>
            <w:pPr>
              <w:spacing w:before="20" w:after="20"/>
            </w:pPr>
            <w:r/>
            <w:r>
              <w:rPr>
                <w:rFonts w:ascii="Verdana" w:hAnsi="Verdana"/>
                <w:b w:val="0"/>
                <w:sz w:val="16"/>
              </w:rPr>
              <w:t>Semi-major axis of rotation ellipsoid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0 01 153</w:t>
            </w:r>
          </w:p>
        </w:tc>
        <w:tc>
          <w:tcPr>
            <w:tcW w:type="dxa" w:w="1514"/>
          </w:tcPr>
          <w:p>
            <w:pPr>
              <w:spacing w:before="20" w:after="20"/>
            </w:pPr>
            <w:r/>
            <w:r>
              <w:rPr>
                <w:rFonts w:ascii="Verdana" w:hAnsi="Verdana"/>
                <w:b w:val="0"/>
                <w:sz w:val="16"/>
              </w:rPr>
              <w:t>Semi-minor axis of rotation ellipsoid</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31</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0 01 154</w:t>
            </w:r>
          </w:p>
        </w:tc>
        <w:tc>
          <w:tcPr>
            <w:tcW w:type="dxa" w:w="1514"/>
          </w:tcPr>
          <w:p>
            <w:pPr>
              <w:spacing w:before="20" w:after="20"/>
            </w:pPr>
            <w:r/>
            <w:r>
              <w:rPr>
                <w:rFonts w:ascii="Verdana" w:hAnsi="Verdana"/>
                <w:b w:val="0"/>
                <w:sz w:val="16"/>
              </w:rPr>
              <w:t>Sensor identifier</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Numeric</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0 01 155</w:t>
            </w:r>
          </w:p>
        </w:tc>
        <w:tc>
          <w:tcPr>
            <w:tcW w:type="dxa" w:w="1514"/>
          </w:tcPr>
          <w:p>
            <w:pPr>
              <w:spacing w:before="20" w:after="20"/>
            </w:pPr>
            <w:r/>
            <w:r>
              <w:rPr>
                <w:rFonts w:ascii="Verdana" w:hAnsi="Verdana"/>
                <w:b w:val="0"/>
                <w:sz w:val="16"/>
              </w:rPr>
              <w:t>Retrieval identifier</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0 01 156</w:t>
            </w:r>
          </w:p>
        </w:tc>
        <w:tc>
          <w:tcPr>
            <w:tcW w:type="dxa" w:w="1514"/>
          </w:tcPr>
          <w:p>
            <w:pPr>
              <w:spacing w:before="20" w:after="20"/>
            </w:pPr>
            <w:r/>
            <w:r>
              <w:rPr>
                <w:rFonts w:ascii="Verdana" w:hAnsi="Verdana"/>
                <w:b w:val="0"/>
                <w:sz w:val="16"/>
              </w:rPr>
              <w:t>Balloon flight number</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0 01 157</w:t>
            </w:r>
          </w:p>
        </w:tc>
        <w:tc>
          <w:tcPr>
            <w:tcW w:type="dxa" w:w="1514"/>
          </w:tcPr>
          <w:p>
            <w:pPr>
              <w:spacing w:before="20" w:after="20"/>
            </w:pPr>
            <w:r/>
            <w:r>
              <w:rPr>
                <w:rFonts w:ascii="Verdana" w:hAnsi="Verdana"/>
                <w:b w:val="0"/>
                <w:sz w:val="16"/>
              </w:rPr>
              <w:t>Balloon registration number or other identification</w:t>
            </w:r>
          </w:p>
        </w:tc>
        <w:tc>
          <w:tcPr>
            <w:tcW w:type="dxa" w:w="1514"/>
          </w:tcPr>
          <w:p>
            <w:pPr>
              <w:spacing w:before="20" w:after="20"/>
            </w:pPr>
            <w:r/>
            <w:r>
              <w:rPr>
                <w:rFonts w:ascii="Verdana" w:hAnsi="Verdana"/>
                <w:sz w:val="16"/>
              </w:rPr>
              <w:t>CCITT IA5</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80</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0 01 158</w:t>
            </w:r>
          </w:p>
        </w:tc>
        <w:tc>
          <w:tcPr>
            <w:tcW w:type="dxa" w:w="1514"/>
          </w:tcPr>
          <w:p>
            <w:pPr>
              <w:spacing w:before="20" w:after="20"/>
            </w:pPr>
            <w:r/>
            <w:r>
              <w:rPr>
                <w:rFonts w:ascii="Verdana" w:hAnsi="Verdana"/>
                <w:b w:val="0"/>
                <w:sz w:val="16"/>
              </w:rPr>
              <w:t>Type of balloon envelope</w:t>
            </w:r>
          </w:p>
        </w:tc>
        <w:tc>
          <w:tcPr>
            <w:tcW w:type="dxa" w:w="1514"/>
          </w:tcPr>
          <w:p>
            <w:pPr>
              <w:spacing w:before="20" w:after="20"/>
            </w:pPr>
            <w:r/>
            <w:r>
              <w:rPr>
                <w:rFonts w:ascii="Verdana" w:hAnsi="Verdana"/>
                <w:sz w:val="16"/>
              </w:rPr>
              <w:t>Code table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0 01 159</w:t>
            </w:r>
          </w:p>
        </w:tc>
        <w:tc>
          <w:tcPr>
            <w:tcW w:type="dxa" w:w="1514"/>
          </w:tcPr>
          <w:p>
            <w:pPr>
              <w:spacing w:before="20" w:after="20"/>
            </w:pPr>
            <w:r/>
            <w:r>
              <w:rPr>
                <w:rFonts w:ascii="Verdana" w:hAnsi="Verdana"/>
                <w:b w:val="0"/>
                <w:sz w:val="16"/>
              </w:rPr>
              <w:t>Typical size of balloon envelope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r>
          </w:p>
        </w:tc>
        <w:tc>
          <w:tcPr>
            <w:tcW w:type="dxa" w:w="1514"/>
          </w:tcPr>
          <w:p>
            <w:pPr>
              <w:spacing w:before="20" w:after="20"/>
            </w:pPr>
            <w:r/>
            <w:r>
              <w:rPr>
                <w:rFonts w:ascii="Verdana" w:hAnsi="Verdana"/>
                <w:b w:val="0"/>
                <w:sz w:val="16"/>
              </w:rPr>
              <w:t>Note 195: In descriptor 0 01 159, report the diameter of spherical balloons and report the larger dimension (length, height) of other shapes.</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