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Clase 10</w:t>
      </w:r>
    </w:p>
    <w:p>
      <w:r>
        <w:rPr>
          <w:rFonts w:ascii="Verdana" w:hAnsi="Verdana"/>
          <w:b/>
          <w:sz w:val="18"/>
        </w:rPr>
        <w:t>0 10 063  Característica de la tendencia barométrica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Subiendo, después bajando; la presión atmosférica es la misma o más alta que 3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Subiendo, después estacionaria; o subiendo y después aumentando más lentamente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presión atmosférica es ahora más alta que tres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Subiendo (regular o irregularmente)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presión atmosférica es ahora más alta que tres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Bajando o estacionaria, después subiendo; o subiendo y después subiendo más rápidamente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presión atmosférica es ahora más alta que tres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Estacionaria; la presión atmosférica es la misma que tres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Bajando, después subiendo; la presión atmosférica es la misma o más baja que tres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Bajando, después estacionaria; o bajando y después bajando más lentamente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presión atmosférica es ahora más baja que tres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Bajando (regular o irregularmente)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presión atmosférica es ahora más baja que tres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Estacionaria o subiendo y después bajando; o bajando y después bajando más rápidamente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La presión atmosférica es ahora más baja que tres horas antes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10 064  Nivel de crucero SIGMET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CIFRA DE CLAVE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SIGNIFICADO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Subsónico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Transónico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Supersónico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Reservadas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Valor faltante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