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13: Elementos hidrográfico e hidrológico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NOMBRE DEL ELEMENTO</w:t>
            </w:r>
          </w:p>
        </w:tc>
        <w:tc>
          <w:tcPr>
            <w:tcW w:type="dxa" w:w="1514"/>
            <w:shd w:val="clear" w:color="auto" w:fill="D9D9D9"/>
          </w:tcPr>
          <w:p>
            <w:pPr>
              <w:spacing w:before="20" w:after="20"/>
            </w:pPr>
            <w:r/>
            <w:r>
              <w:rPr>
                <w:rFonts w:ascii="Verdana" w:hAnsi="Verdana"/>
                <w:b w:val="0"/>
                <w:sz w:val="16"/>
              </w:rPr>
              <w:t>UNIDAD BUFR</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VAL. REF.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UNIDAD CREX</w:t>
            </w:r>
          </w:p>
        </w:tc>
        <w:tc>
          <w:tcPr>
            <w:tcW w:type="dxa" w:w="1514"/>
            <w:shd w:val="clear" w:color="auto" w:fill="D9D9D9"/>
          </w:tcPr>
          <w:p>
            <w:pPr>
              <w:spacing w:before="20" w:after="20"/>
            </w:pPr>
            <w:r/>
            <w:r>
              <w:rPr>
                <w:rFonts w:ascii="Verdana" w:hAnsi="Verdana"/>
                <w:b w:val="0"/>
                <w:sz w:val="16"/>
              </w:rPr>
              <w:t>ESCALA</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NOTA</w:t>
            </w:r>
          </w:p>
        </w:tc>
      </w:tr>
      <w:tr>
        <w:trPr>
          <w:cantSplit/>
        </w:trPr>
        <w:tc>
          <w:tcPr>
            <w:tcW w:type="dxa" w:w="1514"/>
          </w:tcPr>
          <w:p>
            <w:pPr>
              <w:spacing w:before="20" w:after="20"/>
            </w:pPr>
            <w:r/>
            <w:r>
              <w:rPr>
                <w:rFonts w:ascii="Verdana" w:hAnsi="Verdana"/>
                <w:b w:val="0"/>
                <w:sz w:val="16"/>
              </w:rPr>
              <w:t>0 13 001</w:t>
            </w:r>
          </w:p>
        </w:tc>
        <w:tc>
          <w:tcPr>
            <w:tcW w:type="dxa" w:w="1514"/>
          </w:tcPr>
          <w:p>
            <w:pPr>
              <w:spacing w:before="20" w:after="20"/>
            </w:pPr>
            <w:r/>
            <w:r>
              <w:rPr>
                <w:rFonts w:ascii="Verdana" w:hAnsi="Verdana"/>
                <w:b w:val="0"/>
                <w:sz w:val="16"/>
              </w:rPr>
              <w:t>Humedad específica</w:t>
            </w:r>
          </w:p>
        </w:tc>
        <w:tc>
          <w:tcPr>
            <w:tcW w:type="dxa" w:w="1514"/>
          </w:tcPr>
          <w:p>
            <w:pPr>
              <w:spacing w:before="20" w:after="20"/>
            </w:pPr>
            <w:r/>
            <w:r>
              <w:rPr>
                <w:rFonts w:ascii="Verdana" w:hAnsi="Verdana"/>
                <w:sz w:val="16"/>
              </w:rPr>
              <w:t>kg kg</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kg</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0 13 002</w:t>
            </w:r>
          </w:p>
        </w:tc>
        <w:tc>
          <w:tcPr>
            <w:tcW w:type="dxa" w:w="1514"/>
          </w:tcPr>
          <w:p>
            <w:pPr>
              <w:spacing w:before="20" w:after="20"/>
            </w:pPr>
            <w:r/>
            <w:r>
              <w:rPr>
                <w:rFonts w:ascii="Verdana" w:hAnsi="Verdana"/>
                <w:b w:val="0"/>
                <w:sz w:val="16"/>
              </w:rPr>
              <w:t>Relación de mezcla</w:t>
            </w:r>
          </w:p>
        </w:tc>
        <w:tc>
          <w:tcPr>
            <w:tcW w:type="dxa" w:w="1514"/>
          </w:tcPr>
          <w:p>
            <w:pPr>
              <w:spacing w:before="20" w:after="20"/>
            </w:pPr>
            <w:r/>
            <w:r>
              <w:rPr>
                <w:rFonts w:ascii="Verdana" w:hAnsi="Verdana"/>
                <w:sz w:val="16"/>
              </w:rPr>
              <w:t>kg kg</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kg</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0 13 003</w:t>
            </w:r>
          </w:p>
        </w:tc>
        <w:tc>
          <w:tcPr>
            <w:tcW w:type="dxa" w:w="1514"/>
          </w:tcPr>
          <w:p>
            <w:pPr>
              <w:spacing w:before="20" w:after="20"/>
            </w:pPr>
            <w:r/>
            <w:r>
              <w:rPr>
                <w:rFonts w:ascii="Verdana" w:hAnsi="Verdana"/>
                <w:b w:val="0"/>
                <w:sz w:val="16"/>
              </w:rPr>
              <w:t>Humedad relativa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0 13 004</w:t>
            </w:r>
          </w:p>
        </w:tc>
        <w:tc>
          <w:tcPr>
            <w:tcW w:type="dxa" w:w="1514"/>
          </w:tcPr>
          <w:p>
            <w:pPr>
              <w:spacing w:before="20" w:after="20"/>
            </w:pPr>
            <w:r/>
            <w:r>
              <w:rPr>
                <w:rFonts w:ascii="Verdana" w:hAnsi="Verdana"/>
                <w:b w:val="0"/>
                <w:sz w:val="16"/>
              </w:rPr>
              <w:t>Presión del vapor</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0 13 005</w:t>
            </w:r>
          </w:p>
        </w:tc>
        <w:tc>
          <w:tcPr>
            <w:tcW w:type="dxa" w:w="1514"/>
          </w:tcPr>
          <w:p>
            <w:pPr>
              <w:spacing w:before="20" w:after="20"/>
            </w:pPr>
            <w:r/>
            <w:r>
              <w:rPr>
                <w:rFonts w:ascii="Verdana" w:hAnsi="Verdana"/>
                <w:b w:val="0"/>
                <w:sz w:val="16"/>
              </w:rPr>
              <w:t>Densidad del vapor</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0 13 006</w:t>
            </w:r>
          </w:p>
        </w:tc>
        <w:tc>
          <w:tcPr>
            <w:tcW w:type="dxa" w:w="1514"/>
          </w:tcPr>
          <w:p>
            <w:pPr>
              <w:spacing w:before="20" w:after="20"/>
            </w:pPr>
            <w:r/>
            <w:r>
              <w:rPr>
                <w:rFonts w:ascii="Verdana" w:hAnsi="Verdana"/>
                <w:b w:val="0"/>
                <w:sz w:val="16"/>
              </w:rPr>
              <w:t>Alturas de mezcla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0 13 007</w:t>
            </w:r>
          </w:p>
        </w:tc>
        <w:tc>
          <w:tcPr>
            <w:tcW w:type="dxa" w:w="1514"/>
          </w:tcPr>
          <w:p>
            <w:pPr>
              <w:spacing w:before="20" w:after="20"/>
            </w:pPr>
            <w:r/>
            <w:r>
              <w:rPr>
                <w:rFonts w:ascii="Verdana" w:hAnsi="Verdana"/>
                <w:b w:val="0"/>
                <w:sz w:val="16"/>
              </w:rPr>
              <w:t>Humedad relativa mínima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0 13 008</w:t>
            </w:r>
          </w:p>
        </w:tc>
        <w:tc>
          <w:tcPr>
            <w:tcW w:type="dxa" w:w="1514"/>
          </w:tcPr>
          <w:p>
            <w:pPr>
              <w:spacing w:before="20" w:after="20"/>
            </w:pPr>
            <w:r/>
            <w:r>
              <w:rPr>
                <w:rFonts w:ascii="Verdana" w:hAnsi="Verdana"/>
                <w:b w:val="0"/>
                <w:sz w:val="16"/>
              </w:rPr>
              <w:t>Humedad relativa máxima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0 13 009</w:t>
            </w:r>
          </w:p>
        </w:tc>
        <w:tc>
          <w:tcPr>
            <w:tcW w:type="dxa" w:w="1514"/>
          </w:tcPr>
          <w:p>
            <w:pPr>
              <w:spacing w:before="20" w:after="20"/>
            </w:pPr>
            <w:r/>
            <w:r>
              <w:rPr>
                <w:rFonts w:ascii="Verdana" w:hAnsi="Verdana"/>
                <w:b w:val="0"/>
                <w:sz w:val="16"/>
              </w:rPr>
              <w:t>Humedad relativa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-1000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39: Espectros no direccionales, (Ib = 0 en WAVEOB) o espectros direccionales parciales (Ib = 1 en WAVEOB con una dirección por número de onda). Conteo = 0 (espectros direccionales completos) o 1 (espectros no direccionales o espectros direccionales parciales). Los espectros direccionales parciales tienen una sola dirección por banda de número de onda.</w:t>
            </w:r>
          </w:p>
        </w:tc>
      </w:tr>
      <w:tr>
        <w:trPr>
          <w:cantSplit/>
        </w:trPr>
        <w:tc>
          <w:tcPr>
            <w:tcW w:type="dxa" w:w="1514"/>
          </w:tcPr>
          <w:p>
            <w:pPr>
              <w:spacing w:before="20" w:after="20"/>
            </w:pPr>
            <w:r/>
            <w:r>
              <w:rPr>
                <w:rFonts w:ascii="Verdana" w:hAnsi="Verdana"/>
                <w:b w:val="0"/>
                <w:sz w:val="16"/>
              </w:rPr>
              <w:t>0 13 011</w:t>
            </w:r>
          </w:p>
        </w:tc>
        <w:tc>
          <w:tcPr>
            <w:tcW w:type="dxa" w:w="1514"/>
          </w:tcPr>
          <w:p>
            <w:pPr>
              <w:spacing w:before="20" w:after="20"/>
            </w:pPr>
            <w:r/>
            <w:r>
              <w:rPr>
                <w:rFonts w:ascii="Verdana" w:hAnsi="Verdana"/>
                <w:b w:val="0"/>
                <w:sz w:val="16"/>
              </w:rPr>
              <w:t>Precipitación total/equivalente total en agua</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0 13 012</w:t>
            </w:r>
          </w:p>
        </w:tc>
        <w:tc>
          <w:tcPr>
            <w:tcW w:type="dxa" w:w="1514"/>
          </w:tcPr>
          <w:p>
            <w:pPr>
              <w:spacing w:before="20" w:after="20"/>
            </w:pPr>
            <w:r/>
            <w:r>
              <w:rPr>
                <w:rFonts w:ascii="Verdana" w:hAnsi="Verdana"/>
                <w:b w:val="0"/>
                <w:sz w:val="16"/>
              </w:rPr>
              <w:t>Espesor de la nieve recién caída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26: Si la radiosonda está equipada con un sensor de humedad relativa, 0 13 009 en la secuencia se notificará con carácter obligatorio y la temperatura del punto de rocío se podrá incluir como valor derivado. Si la radiosonda está equipada con un sensor de temperatura del punto de rocío, 0 12 103 en la secuencia se notificará y 0 13 009 se fijará en valor faltante.</w:t>
            </w:r>
          </w:p>
        </w:tc>
      </w:tr>
      <w:tr>
        <w:trPr>
          <w:cantSplit/>
        </w:trPr>
        <w:tc>
          <w:tcPr>
            <w:tcW w:type="dxa" w:w="1514"/>
          </w:tcPr>
          <w:p>
            <w:pPr>
              <w:spacing w:before="20" w:after="20"/>
            </w:pPr>
            <w:r/>
            <w:r>
              <w:rPr>
                <w:rFonts w:ascii="Verdana" w:hAnsi="Verdana"/>
                <w:b w:val="0"/>
                <w:sz w:val="16"/>
              </w:rPr>
              <w:t>0 13 013</w:t>
            </w:r>
          </w:p>
        </w:tc>
        <w:tc>
          <w:tcPr>
            <w:tcW w:type="dxa" w:w="1514"/>
          </w:tcPr>
          <w:p>
            <w:pPr>
              <w:spacing w:before="20" w:after="20"/>
            </w:pPr>
            <w:r/>
            <w:r>
              <w:rPr>
                <w:rFonts w:ascii="Verdana" w:hAnsi="Verdana"/>
                <w:b w:val="0"/>
                <w:sz w:val="16"/>
              </w:rPr>
              <w:t>Espesor total de la nieve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26: Si la radiosonda está equipada con un sensor de humedad relativa, 0 13 009 en la secuencia se notificará con carácter obligatorio y la temperatura del punto de rocío se podrá incluir como valor derivado. Si la radiosonda está equipada con un sensor de temperatura del punto de rocío, 0 12 103 en la secuencia se notificará y 0 13 009 se fijará en valor faltante.</w:t>
            </w:r>
          </w:p>
        </w:tc>
      </w:tr>
      <w:tr>
        <w:trPr>
          <w:cantSplit/>
        </w:trPr>
        <w:tc>
          <w:tcPr>
            <w:tcW w:type="dxa" w:w="1514"/>
          </w:tcPr>
          <w:p>
            <w:pPr>
              <w:spacing w:before="20" w:after="20"/>
            </w:pPr>
            <w:r/>
            <w:r>
              <w:rPr>
                <w:rFonts w:ascii="Verdana" w:hAnsi="Verdana"/>
                <w:b w:val="0"/>
                <w:sz w:val="16"/>
              </w:rPr>
              <w:t>0 13 014</w:t>
            </w:r>
          </w:p>
        </w:tc>
        <w:tc>
          <w:tcPr>
            <w:tcW w:type="dxa" w:w="1514"/>
          </w:tcPr>
          <w:p>
            <w:pPr>
              <w:spacing w:before="20" w:after="20"/>
            </w:pPr>
            <w:r/>
            <w:r>
              <w:rPr>
                <w:rFonts w:ascii="Verdana" w:hAnsi="Verdana"/>
                <w:b w:val="0"/>
                <w:sz w:val="16"/>
              </w:rPr>
              <w:t>Lluvia/equivalente en agua de nieve (valores medios)</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0 13 015</w:t>
            </w:r>
          </w:p>
        </w:tc>
        <w:tc>
          <w:tcPr>
            <w:tcW w:type="dxa" w:w="1514"/>
          </w:tcPr>
          <w:p>
            <w:pPr>
              <w:spacing w:before="20" w:after="20"/>
            </w:pPr>
            <w:r/>
            <w:r>
              <w:rPr>
                <w:rFonts w:ascii="Verdana" w:hAnsi="Verdana"/>
                <w:b w:val="0"/>
                <w:sz w:val="16"/>
              </w:rPr>
              <w:t>Nieve (valores medios)</w:t>
            </w:r>
          </w:p>
        </w:tc>
        <w:tc>
          <w:tcPr>
            <w:tcW w:type="dxa" w:w="1514"/>
          </w:tcPr>
          <w:p>
            <w:pPr>
              <w:spacing w:before="20" w:after="20"/>
            </w:pPr>
            <w:r/>
            <w:r>
              <w:rPr>
                <w:rFonts w:ascii="Verdana" w:hAnsi="Verdana"/>
                <w:sz w:val="16"/>
              </w:rPr>
              <w:t>m s</w:t>
            </w:r>
            <w:r>
              <w:rPr>
                <w:rFonts w:ascii="Verdana" w:hAnsi="Verdana"/>
                <w:sz w:val="16"/>
                <w:vertAlign w:val="superscript"/>
              </w:rPr>
              <w:t>-1</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 s</w:t>
            </w:r>
            <w:r>
              <w:rPr>
                <w:rFonts w:ascii="Verdana" w:hAnsi="Verdana"/>
                <w:sz w:val="16"/>
                <w:vertAlign w:val="superscript"/>
              </w:rPr>
              <w:t>-1</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0 13 016</w:t>
            </w:r>
          </w:p>
        </w:tc>
        <w:tc>
          <w:tcPr>
            <w:tcW w:type="dxa" w:w="1514"/>
          </w:tcPr>
          <w:p>
            <w:pPr>
              <w:spacing w:before="20" w:after="20"/>
            </w:pPr>
            <w:r/>
            <w:r>
              <w:rPr>
                <w:rFonts w:ascii="Verdana" w:hAnsi="Verdana"/>
                <w:b w:val="0"/>
                <w:sz w:val="16"/>
              </w:rPr>
              <w:t>Agua precipitable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0 13 019</w:t>
            </w:r>
          </w:p>
        </w:tc>
        <w:tc>
          <w:tcPr>
            <w:tcW w:type="dxa" w:w="1514"/>
          </w:tcPr>
          <w:p>
            <w:pPr>
              <w:spacing w:before="20" w:after="20"/>
            </w:pPr>
            <w:r/>
            <w:r>
              <w:rPr>
                <w:rFonts w:ascii="Verdana" w:hAnsi="Verdana"/>
                <w:b w:val="0"/>
                <w:sz w:val="16"/>
              </w:rPr>
              <w:t>Precipitación total en el curso de la hora precedente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0 13 020</w:t>
            </w:r>
          </w:p>
        </w:tc>
        <w:tc>
          <w:tcPr>
            <w:tcW w:type="dxa" w:w="1514"/>
          </w:tcPr>
          <w:p>
            <w:pPr>
              <w:spacing w:before="20" w:after="20"/>
            </w:pPr>
            <w:r/>
            <w:r>
              <w:rPr>
                <w:rFonts w:ascii="Verdana" w:hAnsi="Verdana"/>
                <w:b w:val="0"/>
                <w:sz w:val="16"/>
              </w:rPr>
              <w:t>Precipitación total en el curso de las 3 horas precedentes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0 13 021</w:t>
            </w:r>
          </w:p>
        </w:tc>
        <w:tc>
          <w:tcPr>
            <w:tcW w:type="dxa" w:w="1514"/>
          </w:tcPr>
          <w:p>
            <w:pPr>
              <w:spacing w:before="20" w:after="20"/>
            </w:pPr>
            <w:r/>
            <w:r>
              <w:rPr>
                <w:rFonts w:ascii="Verdana" w:hAnsi="Verdana"/>
                <w:b w:val="0"/>
                <w:sz w:val="16"/>
              </w:rPr>
              <w:t>Precipitación total en el curso de las 6 horas precedentes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0 13 022</w:t>
            </w:r>
          </w:p>
        </w:tc>
        <w:tc>
          <w:tcPr>
            <w:tcW w:type="dxa" w:w="1514"/>
          </w:tcPr>
          <w:p>
            <w:pPr>
              <w:spacing w:before="20" w:after="20"/>
            </w:pPr>
            <w:r/>
            <w:r>
              <w:rPr>
                <w:rFonts w:ascii="Verdana" w:hAnsi="Verdana"/>
                <w:b w:val="0"/>
                <w:sz w:val="16"/>
              </w:rPr>
              <w:t>Precipitación total en el curso de las 12 horas precedentes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0 13 023</w:t>
            </w:r>
          </w:p>
        </w:tc>
        <w:tc>
          <w:tcPr>
            <w:tcW w:type="dxa" w:w="1514"/>
          </w:tcPr>
          <w:p>
            <w:pPr>
              <w:spacing w:before="20" w:after="20"/>
            </w:pPr>
            <w:r/>
            <w:r>
              <w:rPr>
                <w:rFonts w:ascii="Verdana" w:hAnsi="Verdana"/>
                <w:b w:val="0"/>
                <w:sz w:val="16"/>
              </w:rPr>
              <w:t>Precipitación total en el curso de las 24 horas precedentes</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0 13 031</w:t>
            </w:r>
          </w:p>
        </w:tc>
        <w:tc>
          <w:tcPr>
            <w:tcW w:type="dxa" w:w="1514"/>
          </w:tcPr>
          <w:p>
            <w:pPr>
              <w:spacing w:before="20" w:after="20"/>
            </w:pPr>
            <w:r/>
            <w:r>
              <w:rPr>
                <w:rFonts w:ascii="Verdana" w:hAnsi="Verdana"/>
                <w:b w:val="0"/>
                <w:sz w:val="16"/>
              </w:rPr>
              <w:t>Evapotranspiración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0 13 032</w:t>
            </w:r>
          </w:p>
        </w:tc>
        <w:tc>
          <w:tcPr>
            <w:tcW w:type="dxa" w:w="1514"/>
          </w:tcPr>
          <w:p>
            <w:pPr>
              <w:spacing w:before="20" w:after="20"/>
            </w:pPr>
            <w:r/>
            <w:r>
              <w:rPr>
                <w:rFonts w:ascii="Verdana" w:hAnsi="Verdana"/>
                <w:b w:val="0"/>
                <w:sz w:val="16"/>
              </w:rPr>
              <w:t>Evaporación/evapotranspiración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53: El descriptor 0 33 002 relativo a la información sobre la calidad está relacionado, en esta instancia, con el componente w 0 11 006. Se da para cada puerta respectiva de la medición del perfil.</w:t>
            </w:r>
          </w:p>
        </w:tc>
      </w:tr>
      <w:tr>
        <w:trPr>
          <w:cantSplit/>
        </w:trPr>
        <w:tc>
          <w:tcPr>
            <w:tcW w:type="dxa" w:w="1514"/>
          </w:tcPr>
          <w:p>
            <w:pPr>
              <w:spacing w:before="20" w:after="20"/>
            </w:pPr>
            <w:r/>
            <w:r>
              <w:rPr>
                <w:rFonts w:ascii="Verdana" w:hAnsi="Verdana"/>
                <w:b w:val="0"/>
                <w:sz w:val="16"/>
              </w:rPr>
              <w:t>0 13 033</w:t>
            </w:r>
          </w:p>
        </w:tc>
        <w:tc>
          <w:tcPr>
            <w:tcW w:type="dxa" w:w="1514"/>
          </w:tcPr>
          <w:p>
            <w:pPr>
              <w:spacing w:before="20" w:after="20"/>
            </w:pPr>
            <w:r/>
            <w:r>
              <w:rPr>
                <w:rFonts w:ascii="Verdana" w:hAnsi="Verdana"/>
                <w:b w:val="0"/>
                <w:sz w:val="16"/>
              </w:rPr>
              <w:t>Evaporación/evapotranspiración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0 13 038</w:t>
            </w:r>
          </w:p>
        </w:tc>
        <w:tc>
          <w:tcPr>
            <w:tcW w:type="dxa" w:w="1514"/>
          </w:tcPr>
          <w:p>
            <w:pPr>
              <w:spacing w:before="20" w:after="20"/>
            </w:pPr>
            <w:r/>
            <w:r>
              <w:rPr>
                <w:rFonts w:ascii="Verdana" w:hAnsi="Verdana"/>
                <w:b w:val="0"/>
                <w:sz w:val="16"/>
              </w:rPr>
              <w:t>Indicador superadiabático</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0 13 039</w:t>
            </w:r>
          </w:p>
        </w:tc>
        <w:tc>
          <w:tcPr>
            <w:tcW w:type="dxa" w:w="1514"/>
          </w:tcPr>
          <w:p>
            <w:pPr>
              <w:spacing w:before="20" w:after="20"/>
            </w:pPr>
            <w:r/>
            <w:r>
              <w:rPr>
                <w:rFonts w:ascii="Verdana" w:hAnsi="Verdana"/>
                <w:b w:val="0"/>
                <w:sz w:val="16"/>
              </w:rPr>
              <w:t>Tipo de terreno (hielo/nieve)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0 13 040</w:t>
            </w:r>
          </w:p>
        </w:tc>
        <w:tc>
          <w:tcPr>
            <w:tcW w:type="dxa" w:w="1514"/>
          </w:tcPr>
          <w:p>
            <w:pPr>
              <w:spacing w:before="20" w:after="20"/>
            </w:pPr>
            <w:r/>
            <w:r>
              <w:rPr>
                <w:rFonts w:ascii="Verdana" w:hAnsi="Verdana"/>
                <w:b w:val="0"/>
                <w:sz w:val="16"/>
              </w:rPr>
              <w:t>Banderín de superficie</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0 13 041</w:t>
            </w:r>
          </w:p>
        </w:tc>
        <w:tc>
          <w:tcPr>
            <w:tcW w:type="dxa" w:w="1514"/>
          </w:tcPr>
          <w:p>
            <w:pPr>
              <w:spacing w:before="20" w:after="20"/>
            </w:pPr>
            <w:r/>
            <w:r>
              <w:rPr>
                <w:rFonts w:ascii="Verdana" w:hAnsi="Verdana"/>
                <w:b w:val="0"/>
                <w:sz w:val="16"/>
              </w:rPr>
              <w:t>Categoría de estabilidad de Pasquill-Gifford</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0 13 042</w:t>
            </w:r>
          </w:p>
        </w:tc>
        <w:tc>
          <w:tcPr>
            <w:tcW w:type="dxa" w:w="1514"/>
          </w:tcPr>
          <w:p>
            <w:pPr>
              <w:spacing w:before="20" w:after="20"/>
            </w:pPr>
            <w:r/>
            <w:r>
              <w:rPr>
                <w:rFonts w:ascii="Verdana" w:hAnsi="Verdana"/>
                <w:b w:val="0"/>
                <w:sz w:val="16"/>
              </w:rPr>
              <w:t>Índice de elevación de una partícula (a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119: Los dos índices de elevación (0 13 042 y 0 13 043) se definen como diferencias de temperaturas, pudiendo dar resultados negativos, si bien la unidad elegida en ambos casos es el grado Kelvin; de ahí que el valor de referencia sea diferente de cero. | Note 130: El “índice de elevación de una partícula” (según la definición del Vocabulario Meteorológico Internacional (OMM–Nº 182)) se define como la diferencia entre la temperatura ambiente a 500 hPa (T500) y la de una partícula de aire en superficie (Tpartícula) elevada por el proceso adiabático del aire seco o del aire húmedo saturado. Hay inestabilidad cuando el resultado de la diferencia T500 – Tpartícula es negativo. El “índice de elevación óptimo” se define como el índice que representa la mayor inestabilidad en un conjunto de índices de elevación de una partícula, donde el estado inicial de la partícula se define como un conjunto de capas superpuestas de 30 hPa de grosor y la capa más baja está situada en la superficie. En general se utilizan para el cálculo de cuatro a seis capas.</w:t>
            </w:r>
          </w:p>
        </w:tc>
      </w:tr>
      <w:tr>
        <w:trPr>
          <w:cantSplit/>
        </w:trPr>
        <w:tc>
          <w:tcPr>
            <w:tcW w:type="dxa" w:w="1514"/>
          </w:tcPr>
          <w:p>
            <w:pPr>
              <w:spacing w:before="20" w:after="20"/>
            </w:pPr>
            <w:r/>
            <w:r>
              <w:rPr>
                <w:rFonts w:ascii="Verdana" w:hAnsi="Verdana"/>
                <w:b w:val="0"/>
                <w:sz w:val="16"/>
              </w:rPr>
              <w:t>0 13 043</w:t>
            </w:r>
          </w:p>
        </w:tc>
        <w:tc>
          <w:tcPr>
            <w:tcW w:type="dxa" w:w="1514"/>
          </w:tcPr>
          <w:p>
            <w:pPr>
              <w:spacing w:before="20" w:after="20"/>
            </w:pPr>
            <w:r/>
            <w:r>
              <w:rPr>
                <w:rFonts w:ascii="Verdana" w:hAnsi="Verdana"/>
                <w:b w:val="0"/>
                <w:sz w:val="16"/>
              </w:rPr>
              <w:t>Índice de elevación óptimo (a 500 hPa)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119: Los dos índices de elevación (0 13 042 y 0 13 043) se definen como diferencias de temperaturas, pudiendo dar resultados negativos, si bien la unidad elegida en ambos casos es el grado Kelvin; de ahí que el valor de referencia sea diferente de cero. | Note 130: El “índice de elevación de una partícula” (según la definición del Vocabulario Meteorológico Internacional (OMM–Nº 182)) se define como la diferencia entre la temperatura ambiente a 500 hPa (T500) y la de una partícula de aire en superficie (Tpartícula) elevada por el proceso adiabático del aire seco o del aire húmedo saturado. Hay inestabilidad cuando el resultado de la diferencia T500 – Tpartícula es negativo. El “índice de elevación óptimo” se define como el índice que representa la mayor inestabilidad en un conjunto de índices de elevación de una partícula, donde el estado inicial de la partícula se define como un conjunto de capas superpuestas de 30 hPa de grosor y la capa más baja está situada en la superficie. En general se utilizan para el cálculo de cuatro a seis capas.</w:t>
            </w:r>
          </w:p>
        </w:tc>
      </w:tr>
      <w:tr>
        <w:trPr>
          <w:cantSplit/>
        </w:trPr>
        <w:tc>
          <w:tcPr>
            <w:tcW w:type="dxa" w:w="1514"/>
          </w:tcPr>
          <w:p>
            <w:pPr>
              <w:spacing w:before="20" w:after="20"/>
            </w:pPr>
            <w:r/>
            <w:r>
              <w:rPr>
                <w:rFonts w:ascii="Verdana" w:hAnsi="Verdana"/>
                <w:b w:val="0"/>
                <w:sz w:val="16"/>
              </w:rPr>
              <w:t>0 13 044</w:t>
            </w:r>
          </w:p>
        </w:tc>
        <w:tc>
          <w:tcPr>
            <w:tcW w:type="dxa" w:w="1514"/>
          </w:tcPr>
          <w:p>
            <w:pPr>
              <w:spacing w:before="20" w:after="20"/>
            </w:pPr>
            <w:r/>
            <w:r>
              <w:rPr>
                <w:rFonts w:ascii="Verdana" w:hAnsi="Verdana"/>
                <w:b w:val="0"/>
                <w:sz w:val="16"/>
              </w:rPr>
              <w:t>Índice K</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0 13 045</w:t>
            </w:r>
          </w:p>
        </w:tc>
        <w:tc>
          <w:tcPr>
            <w:tcW w:type="dxa" w:w="1514"/>
          </w:tcPr>
          <w:p>
            <w:pPr>
              <w:spacing w:before="20" w:after="20"/>
            </w:pPr>
            <w:r/>
            <w:r>
              <w:rPr>
                <w:rFonts w:ascii="Verdana" w:hAnsi="Verdana"/>
                <w:b w:val="0"/>
                <w:sz w:val="16"/>
              </w:rPr>
              <w:t>Índice KO</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0 13 046</w:t>
            </w:r>
          </w:p>
        </w:tc>
        <w:tc>
          <w:tcPr>
            <w:tcW w:type="dxa" w:w="1514"/>
          </w:tcPr>
          <w:p>
            <w:pPr>
              <w:spacing w:before="20" w:after="20"/>
            </w:pPr>
            <w:r/>
            <w:r>
              <w:rPr>
                <w:rFonts w:ascii="Verdana" w:hAnsi="Verdana"/>
                <w:b w:val="0"/>
                <w:sz w:val="16"/>
              </w:rPr>
              <w:t>Flotabilidad máxima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0 13 047</w:t>
            </w:r>
          </w:p>
        </w:tc>
        <w:tc>
          <w:tcPr>
            <w:tcW w:type="dxa" w:w="1514"/>
          </w:tcPr>
          <w:p>
            <w:pPr>
              <w:spacing w:before="20" w:after="20"/>
            </w:pPr>
            <w:r/>
            <w:r>
              <w:rPr>
                <w:rFonts w:ascii="Verdana" w:hAnsi="Verdana"/>
                <w:b w:val="0"/>
                <w:sz w:val="16"/>
              </w:rPr>
              <w:t>Índice modificado de estabilidad de Showalter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129: El “Índice modificado de estabilidad de Showalter” se define como la diferencia de temperatura entre la temperatura ambiente a 500 hPa y la temperatura que tendrá una partícula de aire, inicialmente a un nivel de base seleccionado si se extrajese de su nivel de condensación para llevarla a la superficie de 500 hPa mediante un proceso adiabático del aire saturado. Los valores positivos denotan condiciones estables y los valores negativos condiciones inestables. El nivel de base es 850 hPa, 800 hPa o 750 hPa si la elevación de la estación es inferior a 1000, 1000 a 1400 o 1401 a 2000 gpm por encima del nivel medio del mar, respectivamente.</w:t>
            </w:r>
          </w:p>
        </w:tc>
      </w:tr>
      <w:tr>
        <w:trPr>
          <w:cantSplit/>
        </w:trPr>
        <w:tc>
          <w:tcPr>
            <w:tcW w:type="dxa" w:w="1514"/>
          </w:tcPr>
          <w:p>
            <w:pPr>
              <w:spacing w:before="20" w:after="20"/>
            </w:pPr>
            <w:r/>
            <w:r>
              <w:rPr>
                <w:rFonts w:ascii="Verdana" w:hAnsi="Verdana"/>
                <w:b w:val="0"/>
                <w:sz w:val="16"/>
              </w:rPr>
              <w:t>0 13 048</w:t>
            </w:r>
          </w:p>
        </w:tc>
        <w:tc>
          <w:tcPr>
            <w:tcW w:type="dxa" w:w="1514"/>
          </w:tcPr>
          <w:p>
            <w:pPr>
              <w:spacing w:before="20" w:after="20"/>
            </w:pPr>
            <w:r/>
            <w:r>
              <w:rPr>
                <w:rFonts w:ascii="Verdana" w:hAnsi="Verdana"/>
                <w:b w:val="0"/>
                <w:sz w:val="16"/>
              </w:rPr>
              <w:t>Fracción de agua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0 13 051</w:t>
            </w:r>
          </w:p>
        </w:tc>
        <w:tc>
          <w:tcPr>
            <w:tcW w:type="dxa" w:w="1514"/>
          </w:tcPr>
          <w:p>
            <w:pPr>
              <w:spacing w:before="20" w:after="20"/>
            </w:pPr>
            <w:r/>
            <w:r>
              <w:rPr>
                <w:rFonts w:ascii="Verdana" w:hAnsi="Verdana"/>
                <w:b w:val="0"/>
                <w:sz w:val="16"/>
              </w:rPr>
              <w:t>Grupo de frecuencia, precipitación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0 13 052</w:t>
            </w:r>
          </w:p>
        </w:tc>
        <w:tc>
          <w:tcPr>
            <w:tcW w:type="dxa" w:w="1514"/>
          </w:tcPr>
          <w:p>
            <w:pPr>
              <w:spacing w:before="20" w:after="20"/>
            </w:pPr>
            <w:r/>
            <w:r>
              <w:rPr>
                <w:rFonts w:ascii="Verdana" w:hAnsi="Verdana"/>
                <w:b w:val="0"/>
                <w:sz w:val="16"/>
              </w:rPr>
              <w:t>Cantidad máxima diaria de precipitación</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0 13 055</w:t>
            </w:r>
          </w:p>
        </w:tc>
        <w:tc>
          <w:tcPr>
            <w:tcW w:type="dxa" w:w="1514"/>
          </w:tcPr>
          <w:p>
            <w:pPr>
              <w:spacing w:before="20" w:after="20"/>
            </w:pPr>
            <w:r/>
            <w:r>
              <w:rPr>
                <w:rFonts w:ascii="Verdana" w:hAnsi="Verdana"/>
                <w:b w:val="0"/>
                <w:sz w:val="16"/>
              </w:rPr>
              <w:t>Intensidad de la precipitación</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mm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0 13 056</w:t>
            </w:r>
          </w:p>
        </w:tc>
        <w:tc>
          <w:tcPr>
            <w:tcW w:type="dxa" w:w="1514"/>
          </w:tcPr>
          <w:p>
            <w:pPr>
              <w:spacing w:before="20" w:after="20"/>
            </w:pPr>
            <w:r/>
            <w:r>
              <w:rPr>
                <w:rFonts w:ascii="Verdana" w:hAnsi="Verdana"/>
                <w:b w:val="0"/>
                <w:sz w:val="16"/>
              </w:rPr>
              <w:t>Naturaleza e intensidad de la precipitación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0 13 057</w:t>
            </w:r>
          </w:p>
        </w:tc>
        <w:tc>
          <w:tcPr>
            <w:tcW w:type="dxa" w:w="1514"/>
          </w:tcPr>
          <w:p>
            <w:pPr>
              <w:spacing w:before="20" w:after="20"/>
            </w:pPr>
            <w:r/>
            <w:r>
              <w:rPr>
                <w:rFonts w:ascii="Verdana" w:hAnsi="Verdana"/>
                <w:b w:val="0"/>
                <w:sz w:val="16"/>
              </w:rPr>
              <w:t>Hora de comienzo o fin de la precipitación</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Tabla de cifrado</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0 13 058</w:t>
            </w:r>
          </w:p>
        </w:tc>
        <w:tc>
          <w:tcPr>
            <w:tcW w:type="dxa" w:w="1514"/>
          </w:tcPr>
          <w:p>
            <w:pPr>
              <w:spacing w:before="20" w:after="20"/>
            </w:pPr>
            <w:r/>
            <w:r>
              <w:rPr>
                <w:rFonts w:ascii="Verdana" w:hAnsi="Verdana"/>
                <w:b w:val="0"/>
                <w:sz w:val="16"/>
              </w:rPr>
              <w:t>Tamaño del elemento de la precipitación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0 13 059</w:t>
            </w:r>
          </w:p>
        </w:tc>
        <w:tc>
          <w:tcPr>
            <w:tcW w:type="dxa" w:w="1514"/>
          </w:tcPr>
          <w:p>
            <w:pPr>
              <w:spacing w:before="20" w:after="20"/>
            </w:pPr>
            <w:r/>
            <w:r>
              <w:rPr>
                <w:rFonts w:ascii="Verdana" w:hAnsi="Verdana"/>
                <w:b w:val="0"/>
                <w:sz w:val="16"/>
              </w:rPr>
              <w:t>Número de relámpagos (tormenta)</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0 13 060</w:t>
            </w:r>
          </w:p>
        </w:tc>
        <w:tc>
          <w:tcPr>
            <w:tcW w:type="dxa" w:w="1514"/>
          </w:tcPr>
          <w:p>
            <w:pPr>
              <w:spacing w:before="20" w:after="20"/>
            </w:pPr>
            <w:r/>
            <w:r>
              <w:rPr>
                <w:rFonts w:ascii="Verdana" w:hAnsi="Verdana"/>
                <w:b w:val="0"/>
                <w:sz w:val="16"/>
              </w:rPr>
              <w:t>Precipitación total acumulada</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0 13 071</w:t>
            </w:r>
          </w:p>
        </w:tc>
        <w:tc>
          <w:tcPr>
            <w:tcW w:type="dxa" w:w="1514"/>
          </w:tcPr>
          <w:p>
            <w:pPr>
              <w:spacing w:before="20" w:after="20"/>
            </w:pPr>
            <w:r/>
            <w:r>
              <w:rPr>
                <w:rFonts w:ascii="Verdana" w:hAnsi="Verdana"/>
                <w:b w:val="0"/>
                <w:sz w:val="16"/>
              </w:rPr>
              <w:t>Nivel del agua aguas arriba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0 13 072</w:t>
            </w:r>
          </w:p>
        </w:tc>
        <w:tc>
          <w:tcPr>
            <w:tcW w:type="dxa" w:w="1514"/>
          </w:tcPr>
          <w:p>
            <w:pPr>
              <w:spacing w:before="20" w:after="20"/>
            </w:pPr>
            <w:r/>
            <w:r>
              <w:rPr>
                <w:rFonts w:ascii="Verdana" w:hAnsi="Verdana"/>
                <w:b w:val="0"/>
                <w:sz w:val="16"/>
              </w:rPr>
              <w:t>Nivel del agua aguas abajo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0 13 073</w:t>
            </w:r>
          </w:p>
        </w:tc>
        <w:tc>
          <w:tcPr>
            <w:tcW w:type="dxa" w:w="1514"/>
          </w:tcPr>
          <w:p>
            <w:pPr>
              <w:spacing w:before="20" w:after="20"/>
            </w:pPr>
            <w:r/>
            <w:r>
              <w:rPr>
                <w:rFonts w:ascii="Verdana" w:hAnsi="Verdana"/>
                <w:b w:val="0"/>
                <w:sz w:val="16"/>
              </w:rPr>
              <w:t>Nivel máximo del agua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0 13 074</w:t>
            </w:r>
          </w:p>
        </w:tc>
        <w:tc>
          <w:tcPr>
            <w:tcW w:type="dxa" w:w="1514"/>
          </w:tcPr>
          <w:p>
            <w:pPr>
              <w:spacing w:before="20" w:after="20"/>
            </w:pPr>
            <w:r/>
            <w:r>
              <w:rPr>
                <w:rFonts w:ascii="Verdana" w:hAnsi="Verdana"/>
                <w:b w:val="0"/>
                <w:sz w:val="16"/>
              </w:rPr>
              <w:t>Nivel de agua subterránea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0 13 080</w:t>
            </w:r>
          </w:p>
        </w:tc>
        <w:tc>
          <w:tcPr>
            <w:tcW w:type="dxa" w:w="1514"/>
          </w:tcPr>
          <w:p>
            <w:pPr>
              <w:spacing w:before="20" w:after="20"/>
            </w:pPr>
            <w:r/>
            <w:r>
              <w:rPr>
                <w:rFonts w:ascii="Verdana" w:hAnsi="Verdana"/>
                <w:b w:val="0"/>
                <w:sz w:val="16"/>
              </w:rPr>
              <w:t>pH del agua</w:t>
            </w:r>
          </w:p>
        </w:tc>
        <w:tc>
          <w:tcPr>
            <w:tcW w:type="dxa" w:w="1514"/>
          </w:tcPr>
          <w:p>
            <w:pPr>
              <w:spacing w:before="20" w:after="20"/>
            </w:pPr>
            <w:r/>
            <w:r>
              <w:rPr>
                <w:rFonts w:ascii="Verdana" w:hAnsi="Verdana"/>
                <w:sz w:val="16"/>
              </w:rPr>
              <w:t>Unidades pH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Unidades pH</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0 13 081</w:t>
            </w:r>
          </w:p>
        </w:tc>
        <w:tc>
          <w:tcPr>
            <w:tcW w:type="dxa" w:w="1514"/>
          </w:tcPr>
          <w:p>
            <w:pPr>
              <w:spacing w:before="20" w:after="20"/>
            </w:pPr>
            <w:r/>
            <w:r>
              <w:rPr>
                <w:rFonts w:ascii="Verdana" w:hAnsi="Verdana"/>
                <w:b w:val="0"/>
                <w:sz w:val="16"/>
              </w:rPr>
              <w:t>Conductividad del agua</w:t>
            </w:r>
          </w:p>
        </w:tc>
        <w:tc>
          <w:tcPr>
            <w:tcW w:type="dxa" w:w="1514"/>
          </w:tcPr>
          <w:p>
            <w:pPr>
              <w:spacing w:before="20" w:after="20"/>
            </w:pPr>
            <w:r/>
            <w:r>
              <w:rPr>
                <w:rFonts w:ascii="Verdana" w:hAnsi="Verdana"/>
                <w:sz w:val="16"/>
              </w:rPr>
              <w:t>S m</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S m</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0 13 082</w:t>
            </w:r>
          </w:p>
        </w:tc>
        <w:tc>
          <w:tcPr>
            <w:tcW w:type="dxa" w:w="1514"/>
          </w:tcPr>
          <w:p>
            <w:pPr>
              <w:spacing w:before="20" w:after="20"/>
            </w:pPr>
            <w:r/>
            <w:r>
              <w:rPr>
                <w:rFonts w:ascii="Verdana" w:hAnsi="Verdana"/>
                <w:b w:val="0"/>
                <w:sz w:val="16"/>
              </w:rPr>
              <w:t>Temperatura del agua</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0 13 083</w:t>
            </w:r>
          </w:p>
        </w:tc>
        <w:tc>
          <w:tcPr>
            <w:tcW w:type="dxa" w:w="1514"/>
          </w:tcPr>
          <w:p>
            <w:pPr>
              <w:spacing w:before="20" w:after="20"/>
            </w:pPr>
            <w:r/>
            <w:r>
              <w:rPr>
                <w:rFonts w:ascii="Verdana" w:hAnsi="Verdana"/>
                <w:b w:val="0"/>
                <w:sz w:val="16"/>
              </w:rPr>
              <w:t>Oxígeno disuelto</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0 13 084</w:t>
            </w:r>
          </w:p>
        </w:tc>
        <w:tc>
          <w:tcPr>
            <w:tcW w:type="dxa" w:w="1514"/>
          </w:tcPr>
          <w:p>
            <w:pPr>
              <w:spacing w:before="20" w:after="20"/>
            </w:pPr>
            <w:r/>
            <w:r>
              <w:rPr>
                <w:rFonts w:ascii="Verdana" w:hAnsi="Verdana"/>
                <w:b w:val="0"/>
                <w:sz w:val="16"/>
              </w:rPr>
              <w:t>Turbiedad</w:t>
            </w:r>
          </w:p>
        </w:tc>
        <w:tc>
          <w:tcPr>
            <w:tcW w:type="dxa" w:w="1514"/>
          </w:tcPr>
          <w:p>
            <w:pPr>
              <w:spacing w:before="20" w:after="20"/>
            </w:pPr>
            <w:r/>
            <w:r>
              <w:rPr>
                <w:rFonts w:ascii="Verdana" w:hAnsi="Verdana"/>
                <w:sz w:val="16"/>
              </w:rPr>
              <w:t>Lumen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Lumen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0 13 085</w:t>
            </w:r>
          </w:p>
        </w:tc>
        <w:tc>
          <w:tcPr>
            <w:tcW w:type="dxa" w:w="1514"/>
          </w:tcPr>
          <w:p>
            <w:pPr>
              <w:spacing w:before="20" w:after="20"/>
            </w:pPr>
            <w:r/>
            <w:r>
              <w:rPr>
                <w:rFonts w:ascii="Verdana" w:hAnsi="Verdana"/>
                <w:b w:val="0"/>
                <w:sz w:val="16"/>
              </w:rPr>
              <w:t>Potencial de reducción de oxidación (ORP)</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0 13 090</w:t>
            </w:r>
          </w:p>
        </w:tc>
        <w:tc>
          <w:tcPr>
            <w:tcW w:type="dxa" w:w="1514"/>
          </w:tcPr>
          <w:p>
            <w:pPr>
              <w:spacing w:before="20" w:after="20"/>
            </w:pPr>
            <w:r/>
            <w:r>
              <w:rPr>
                <w:rFonts w:ascii="Verdana" w:hAnsi="Verdana"/>
                <w:b w:val="0"/>
                <w:sz w:val="16"/>
              </w:rPr>
              <w:t>Contenido en vapor de agua radiométrico</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0 13 091</w:t>
            </w:r>
          </w:p>
        </w:tc>
        <w:tc>
          <w:tcPr>
            <w:tcW w:type="dxa" w:w="1514"/>
          </w:tcPr>
          <w:p>
            <w:pPr>
              <w:spacing w:before="20" w:after="20"/>
            </w:pPr>
            <w:r/>
            <w:r>
              <w:rPr>
                <w:rFonts w:ascii="Verdana" w:hAnsi="Verdana"/>
                <w:b w:val="0"/>
                <w:sz w:val="16"/>
              </w:rPr>
              <w:t>Contenido líquido radiométrico</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0 13 093</w:t>
            </w:r>
          </w:p>
        </w:tc>
        <w:tc>
          <w:tcPr>
            <w:tcW w:type="dxa" w:w="1514"/>
          </w:tcPr>
          <w:p>
            <w:pPr>
              <w:spacing w:before="20" w:after="20"/>
            </w:pPr>
            <w:r/>
            <w:r>
              <w:rPr>
                <w:rFonts w:ascii="Verdana" w:hAnsi="Verdana"/>
                <w:b w:val="0"/>
                <w:sz w:val="16"/>
              </w:rPr>
              <w:t>Espesor óptico de la nube</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Numérica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0 13 095</w:t>
            </w:r>
          </w:p>
        </w:tc>
        <w:tc>
          <w:tcPr>
            <w:tcW w:type="dxa" w:w="1514"/>
          </w:tcPr>
          <w:p>
            <w:pPr>
              <w:spacing w:before="20" w:after="20"/>
            </w:pPr>
            <w:r/>
            <w:r>
              <w:rPr>
                <w:rFonts w:ascii="Verdana" w:hAnsi="Verdana"/>
                <w:b w:val="0"/>
                <w:sz w:val="16"/>
              </w:rPr>
              <w:t>Vapor de agua total en columna</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0 13 096</w:t>
            </w:r>
          </w:p>
        </w:tc>
        <w:tc>
          <w:tcPr>
            <w:tcW w:type="dxa" w:w="1514"/>
          </w:tcPr>
          <w:p>
            <w:pPr>
              <w:spacing w:before="20" w:after="20"/>
            </w:pPr>
            <w:r/>
            <w:r>
              <w:rPr>
                <w:rFonts w:ascii="Verdana" w:hAnsi="Verdana"/>
                <w:b w:val="0"/>
                <w:sz w:val="16"/>
              </w:rPr>
              <w:t>Contenido de vapor de agua según MWR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0 13 097</w:t>
            </w:r>
          </w:p>
        </w:tc>
        <w:tc>
          <w:tcPr>
            <w:tcW w:type="dxa" w:w="1514"/>
          </w:tcPr>
          <w:p>
            <w:pPr>
              <w:spacing w:before="20" w:after="20"/>
            </w:pPr>
            <w:r/>
            <w:r>
              <w:rPr>
                <w:rFonts w:ascii="Verdana" w:hAnsi="Verdana"/>
                <w:b w:val="0"/>
                <w:sz w:val="16"/>
              </w:rPr>
              <w:t>Contenido de agua líquida según MWR</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0 13 098</w:t>
            </w:r>
          </w:p>
        </w:tc>
        <w:tc>
          <w:tcPr>
            <w:tcW w:type="dxa" w:w="1514"/>
          </w:tcPr>
          <w:p>
            <w:pPr>
              <w:spacing w:before="20" w:after="20"/>
            </w:pPr>
            <w:r/>
            <w:r>
              <w:rPr>
                <w:rFonts w:ascii="Verdana" w:hAnsi="Verdana"/>
                <w:b w:val="0"/>
                <w:sz w:val="16"/>
              </w:rPr>
              <w:t>Densidad de vapor de agua integrada</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0 13 099</w:t>
            </w:r>
          </w:p>
        </w:tc>
        <w:tc>
          <w:tcPr>
            <w:tcW w:type="dxa" w:w="1514"/>
          </w:tcPr>
          <w:p>
            <w:pPr>
              <w:spacing w:before="20" w:after="20"/>
            </w:pPr>
            <w:r/>
            <w:r>
              <w:rPr>
                <w:rFonts w:ascii="Verdana" w:hAnsi="Verdana"/>
                <w:b w:val="0"/>
                <w:sz w:val="16"/>
              </w:rPr>
              <w:t>Log10 de la densidad de partículas de nube integrada</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0 13 100</w:t>
            </w:r>
          </w:p>
        </w:tc>
        <w:tc>
          <w:tcPr>
            <w:tcW w:type="dxa" w:w="1514"/>
          </w:tcPr>
          <w:p>
            <w:pPr>
              <w:spacing w:before="20" w:after="20"/>
            </w:pPr>
            <w:r/>
            <w:r>
              <w:rPr>
                <w:rFonts w:ascii="Verdana" w:hAnsi="Verdana"/>
                <w:b w:val="0"/>
                <w:sz w:val="16"/>
              </w:rPr>
              <w:t>Log10 del área de partículas de nube integrada</w:t>
            </w:r>
          </w:p>
        </w:tc>
        <w:tc>
          <w:tcPr>
            <w:tcW w:type="dxa" w:w="1514"/>
          </w:tcPr>
          <w:p>
            <w:pPr>
              <w:spacing w:before="20" w:after="20"/>
            </w:pPr>
            <w:r/>
            <w:r>
              <w:rPr>
                <w:rFonts w:ascii="Verdana" w:hAnsi="Verdana"/>
                <w:sz w:val="16"/>
              </w:rPr>
              <w:t>log(m²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-70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log(m²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0 13 101</w:t>
            </w:r>
          </w:p>
        </w:tc>
        <w:tc>
          <w:tcPr>
            <w:tcW w:type="dxa" w:w="1514"/>
          </w:tcPr>
          <w:p>
            <w:pPr>
              <w:spacing w:before="20" w:after="20"/>
            </w:pPr>
            <w:r/>
            <w:r>
              <w:rPr>
                <w:rFonts w:ascii="Verdana" w:hAnsi="Verdana"/>
                <w:b w:val="0"/>
                <w:sz w:val="16"/>
              </w:rPr>
              <w:t>Log10 del volumen de partículas de nube integrado</w:t>
            </w:r>
          </w:p>
        </w:tc>
        <w:tc>
          <w:tcPr>
            <w:tcW w:type="dxa" w:w="1514"/>
          </w:tcPr>
          <w:p>
            <w:pPr>
              <w:spacing w:before="20" w:after="20"/>
            </w:pPr>
            <w:r/>
            <w:r>
              <w:rPr>
                <w:rFonts w:ascii="Verdana" w:hAnsi="Verdana"/>
                <w:sz w:val="16"/>
              </w:rPr>
              <w:t>log(m³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-140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log(m³ m</w:t>
            </w:r>
            <w:r>
              <w:rPr>
                <w:rFonts w:ascii="Verdana" w:hAnsi="Verdana"/>
                <w:sz w:val="16"/>
                <w:vertAlign w:val="superscript"/>
              </w:rPr>
              <w:t>-2</w:t>
            </w:r>
            <w:r>
              <w:rPr>
                <w:rFonts w:ascii="Verdana" w:hAnsi="Verdana"/>
                <w:sz w:val="16"/>
              </w:rPr>
              <w:t>)</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0 13 109</w:t>
            </w:r>
          </w:p>
        </w:tc>
        <w:tc>
          <w:tcPr>
            <w:tcW w:type="dxa" w:w="1514"/>
          </w:tcPr>
          <w:p>
            <w:pPr>
              <w:spacing w:before="20" w:after="20"/>
            </w:pPr>
            <w:r/>
            <w:r>
              <w:rPr>
                <w:rFonts w:ascii="Verdana" w:hAnsi="Verdana"/>
                <w:b w:val="0"/>
                <w:sz w:val="16"/>
              </w:rPr>
              <w:t>Trayectoria del agua helada/líquida</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0 13 110</w:t>
            </w:r>
          </w:p>
        </w:tc>
        <w:tc>
          <w:tcPr>
            <w:tcW w:type="dxa" w:w="1514"/>
          </w:tcPr>
          <w:p>
            <w:pPr>
              <w:spacing w:before="20" w:after="20"/>
            </w:pPr>
            <w:r/>
            <w:r>
              <w:rPr>
                <w:rFonts w:ascii="Verdana" w:hAnsi="Verdana"/>
                <w:b w:val="0"/>
                <w:sz w:val="16"/>
              </w:rPr>
              <w:t>Cociente de mezclado de masa</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0 13 111</w:t>
            </w:r>
          </w:p>
        </w:tc>
        <w:tc>
          <w:tcPr>
            <w:tcW w:type="dxa" w:w="1514"/>
          </w:tcPr>
          <w:p>
            <w:pPr>
              <w:spacing w:before="20" w:after="20"/>
            </w:pPr>
            <w:r/>
            <w:r>
              <w:rPr>
                <w:rFonts w:ascii="Verdana" w:hAnsi="Verdana"/>
                <w:b w:val="0"/>
                <w:sz w:val="16"/>
              </w:rPr>
              <w:t>Humedad del suelo</w:t>
            </w:r>
          </w:p>
        </w:tc>
        <w:tc>
          <w:tcPr>
            <w:tcW w:type="dxa" w:w="1514"/>
          </w:tcPr>
          <w:p>
            <w:pPr>
              <w:spacing w:before="20" w:after="20"/>
            </w:pPr>
            <w:r/>
            <w:r>
              <w:rPr>
                <w:rFonts w:ascii="Verdana" w:hAnsi="Verdana"/>
                <w:sz w:val="16"/>
              </w:rPr>
              <w:t>g kg</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g kg</w:t>
            </w:r>
            <w:r>
              <w:rPr>
                <w:rFonts w:ascii="Verdana" w:hAnsi="Verdana"/>
                <w:sz w:val="16"/>
                <w:vertAlign w:val="superscript"/>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0 13 112</w:t>
            </w:r>
          </w:p>
        </w:tc>
        <w:tc>
          <w:tcPr>
            <w:tcW w:type="dxa" w:w="1514"/>
          </w:tcPr>
          <w:p>
            <w:pPr>
              <w:spacing w:before="20" w:after="20"/>
            </w:pPr>
            <w:r/>
            <w:r>
              <w:rPr>
                <w:rFonts w:ascii="Verdana" w:hAnsi="Verdana"/>
                <w:b w:val="0"/>
                <w:sz w:val="16"/>
              </w:rPr>
              <w:t>Duración de la humedad del objeto</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0 13 114</w:t>
            </w:r>
          </w:p>
        </w:tc>
        <w:tc>
          <w:tcPr>
            <w:tcW w:type="dxa" w:w="1514"/>
          </w:tcPr>
          <w:p>
            <w:pPr>
              <w:spacing w:before="20" w:after="20"/>
            </w:pPr>
            <w:r/>
            <w:r>
              <w:rPr>
                <w:rFonts w:ascii="Verdana" w:hAnsi="Verdana"/>
                <w:b w:val="0"/>
                <w:sz w:val="16"/>
              </w:rPr>
              <w:t>Tasa de acreción de hielo</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0 13 115</w:t>
            </w:r>
          </w:p>
        </w:tc>
        <w:tc>
          <w:tcPr>
            <w:tcW w:type="dxa" w:w="1514"/>
          </w:tcPr>
          <w:p>
            <w:pPr>
              <w:spacing w:before="20" w:after="20"/>
            </w:pPr>
            <w:r/>
            <w:r>
              <w:rPr>
                <w:rFonts w:ascii="Verdana" w:hAnsi="Verdana"/>
                <w:b w:val="0"/>
                <w:sz w:val="16"/>
              </w:rPr>
              <w:t>Espesor del hielo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88: El espesor de hielo (0 13 115) irá precedido del tipo de superficie (0 08 029) y fijado en 11, 12, 13 o 14 para especificar si se trata de un río, un lago, un mar o un glaciar, respectivamente.</w:t>
            </w:r>
          </w:p>
        </w:tc>
      </w:tr>
      <w:tr>
        <w:trPr>
          <w:cantSplit/>
        </w:trPr>
        <w:tc>
          <w:tcPr>
            <w:tcW w:type="dxa" w:w="1514"/>
          </w:tcPr>
          <w:p>
            <w:pPr>
              <w:spacing w:before="20" w:after="20"/>
            </w:pPr>
            <w:r/>
            <w:r>
              <w:rPr>
                <w:rFonts w:ascii="Verdana" w:hAnsi="Verdana"/>
                <w:b w:val="0"/>
                <w:sz w:val="16"/>
              </w:rPr>
              <w:t>0 13 116</w:t>
            </w:r>
          </w:p>
        </w:tc>
        <w:tc>
          <w:tcPr>
            <w:tcW w:type="dxa" w:w="1514"/>
          </w:tcPr>
          <w:p>
            <w:pPr>
              <w:spacing w:before="20" w:after="20"/>
            </w:pPr>
            <w:r/>
            <w:r>
              <w:rPr>
                <w:rFonts w:ascii="Verdana" w:hAnsi="Verdana"/>
                <w:b w:val="0"/>
                <w:sz w:val="16"/>
              </w:rPr>
              <w:t>Espesor de la lámina de agua</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0 13 117</w:t>
            </w:r>
          </w:p>
        </w:tc>
        <w:tc>
          <w:tcPr>
            <w:tcW w:type="dxa" w:w="1514"/>
          </w:tcPr>
          <w:p>
            <w:pPr>
              <w:spacing w:before="20" w:after="20"/>
            </w:pPr>
            <w:r/>
            <w:r>
              <w:rPr>
                <w:rFonts w:ascii="Verdana" w:hAnsi="Verdana"/>
                <w:b w:val="0"/>
                <w:sz w:val="16"/>
              </w:rPr>
              <w:t>Densidad de la nieve (contenido de agua líquida)</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0 13 118</w:t>
            </w:r>
          </w:p>
        </w:tc>
        <w:tc>
          <w:tcPr>
            <w:tcW w:type="dxa" w:w="1514"/>
          </w:tcPr>
          <w:p>
            <w:pPr>
              <w:spacing w:before="20" w:after="20"/>
            </w:pPr>
            <w:r/>
            <w:r>
              <w:rPr>
                <w:rFonts w:ascii="Verdana" w:hAnsi="Verdana"/>
                <w:b w:val="0"/>
                <w:sz w:val="16"/>
              </w:rPr>
              <w:t>Espesor de nieve fresca (gran precisión)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41: Normalmente 1, puede ser 2 si están en uso los sensores de elevación y de pendiente, o 0 si no hay datos espectrales.</w:t>
            </w:r>
          </w:p>
        </w:tc>
      </w:tr>
      <w:tr>
        <w:trPr>
          <w:cantSplit/>
        </w:trPr>
        <w:tc>
          <w:tcPr>
            <w:tcW w:type="dxa" w:w="1514"/>
          </w:tcPr>
          <w:p>
            <w:pPr>
              <w:spacing w:before="20" w:after="20"/>
            </w:pPr>
            <w:r/>
            <w:r>
              <w:rPr>
                <w:rFonts w:ascii="Verdana" w:hAnsi="Verdana"/>
                <w:b w:val="0"/>
                <w:sz w:val="16"/>
              </w:rPr>
              <w:t>0 13 155</w:t>
            </w:r>
          </w:p>
        </w:tc>
        <w:tc>
          <w:tcPr>
            <w:tcW w:type="dxa" w:w="1514"/>
          </w:tcPr>
          <w:p>
            <w:pPr>
              <w:spacing w:before="20" w:after="20"/>
            </w:pPr>
            <w:r/>
            <w:r>
              <w:rPr>
                <w:rFonts w:ascii="Verdana" w:hAnsi="Verdana"/>
                <w:b w:val="0"/>
                <w:sz w:val="16"/>
              </w:rPr>
              <w:t>Intensidad de la precipitación (gran precisión)</w:t>
            </w:r>
          </w:p>
        </w:tc>
        <w:tc>
          <w:tcPr>
            <w:tcW w:type="dxa" w:w="1514"/>
          </w:tcPr>
          <w:p>
            <w:pPr>
              <w:spacing w:before="20" w:after="20"/>
            </w:pPr>
            <w:r/>
            <w:r>
              <w:rPr>
                <w:rFonts w:ascii="Verdana" w:hAnsi="Verdana"/>
                <w:sz w:val="16"/>
              </w:rPr>
              <w:t>kg m</w:t>
            </w:r>
            <w:r>
              <w:rPr>
                <w:rFonts w:ascii="Verdana" w:hAnsi="Verdana"/>
                <w:sz w:val="16"/>
                <w:vertAlign w:val="superscript"/>
              </w:rPr>
              <w:t>-2</w:t>
            </w:r>
            <w:r>
              <w:rPr>
                <w:rFonts w:ascii="Verdana" w:hAnsi="Verdana"/>
                <w:sz w:val="16"/>
              </w:rPr>
              <w:t xml:space="preserve"> s</w:t>
            </w:r>
            <w:r>
              <w:rPr>
                <w:rFonts w:ascii="Verdana" w:hAnsi="Verdana"/>
                <w:sz w:val="16"/>
                <w:vertAlign w:val="superscript"/>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mm h</w:t>
            </w:r>
            <w:r>
              <w:rPr>
                <w:rFonts w:ascii="Verdana" w:hAnsi="Verdana"/>
                <w:sz w:val="16"/>
                <w:vertAlign w:val="superscript"/>
              </w:rPr>
              <w:t>-1</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28: En el contexto del descriptor 3 10 067, los valores de presión que siguen inmediatamente a la aparición de componentes de viento deben entenderse como correspondientes a esos componentes.</w:t>
            </w:r>
          </w:p>
        </w:tc>
      </w:tr>
      <w:tr>
        <w:trPr>
          <w:cantSplit/>
        </w:trPr>
        <w:tc>
          <w:tcPr>
            <w:tcW w:type="dxa" w:w="1514"/>
          </w:tcPr>
          <w:p>
            <w:pPr>
              <w:spacing w:before="20" w:after="20"/>
            </w:pPr>
            <w:r/>
            <w:r>
              <w:rPr>
                <w:rFonts w:ascii="Verdana" w:hAnsi="Verdana"/>
                <w:b w:val="0"/>
                <w:sz w:val="16"/>
              </w:rPr>
              <w:t>0 13 160</w:t>
            </w:r>
          </w:p>
        </w:tc>
        <w:tc>
          <w:tcPr>
            <w:tcW w:type="dxa" w:w="1514"/>
          </w:tcPr>
          <w:p>
            <w:pPr>
              <w:spacing w:before="20" w:after="20"/>
            </w:pPr>
            <w:r/>
            <w:r>
              <w:rPr>
                <w:rFonts w:ascii="Verdana" w:hAnsi="Verdana"/>
                <w:b w:val="0"/>
                <w:sz w:val="16"/>
              </w:rPr>
              <w:t>Contenido líquido radiométrico</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-350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0 13 162</w:t>
            </w:r>
          </w:p>
        </w:tc>
        <w:tc>
          <w:tcPr>
            <w:tcW w:type="dxa" w:w="1514"/>
          </w:tcPr>
          <w:p>
            <w:pPr>
              <w:spacing w:before="20" w:after="20"/>
            </w:pPr>
            <w:r/>
            <w:r>
              <w:rPr>
                <w:rFonts w:ascii="Verdana" w:hAnsi="Verdana"/>
                <w:b w:val="0"/>
                <w:sz w:val="16"/>
              </w:rPr>
              <w:t>Agua líquida en la nube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0 13 163</w:t>
            </w:r>
          </w:p>
        </w:tc>
        <w:tc>
          <w:tcPr>
            <w:tcW w:type="dxa" w:w="1514"/>
          </w:tcPr>
          <w:p>
            <w:pPr>
              <w:spacing w:before="20" w:after="20"/>
            </w:pPr>
            <w:r/>
            <w:r>
              <w:rPr>
                <w:rFonts w:ascii="Verdana" w:hAnsi="Verdana"/>
                <w:b w:val="0"/>
                <w:sz w:val="16"/>
              </w:rPr>
              <w:t>Equivalente en agua de la nieve</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kg 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0 13 164</w:t>
            </w:r>
          </w:p>
        </w:tc>
        <w:tc>
          <w:tcPr>
            <w:tcW w:type="dxa" w:w="1514"/>
          </w:tcPr>
          <w:p>
            <w:pPr>
              <w:spacing w:before="20" w:after="20"/>
            </w:pPr>
            <w:r/>
            <w:r>
              <w:rPr>
                <w:rFonts w:ascii="Verdana" w:hAnsi="Verdana"/>
                <w:b w:val="0"/>
                <w:sz w:val="16"/>
              </w:rPr>
              <w:t>Francobordo del hielo marino</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-131072</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bl>
    <w:p/>
    <w:p>
      <w:r>
        <w:rPr>
          <w:rFonts w:ascii="Verdana" w:hAnsi="Verdana"/>
          <w:i/>
          <w:sz w:val="14"/>
        </w:rPr>
        <w:t>Note 23: El valor –0,1 kg m–2 antes de la aplicación del factor de escala (–1 después de su aplicación o en la clave CREX) indicará “trazas” (no mensurable, menos de 0,05 kg m–2).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