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10</w:t>
      </w:r>
    </w:p>
    <w:p>
      <w:r>
        <w:rPr>
          <w:rFonts w:ascii="Verdana" w:hAnsi="Verdana"/>
          <w:b/>
          <w:sz w:val="18"/>
        </w:rPr>
        <w:t>0 10 063  Характеристика барической тенденции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3784"/>
        <w:gridCol w:w="3784"/>
        <w:gridCol w:w="3784"/>
        <w:gridCol w:w="3784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ПОД 1</w:t>
            </w:r>
          </w:p>
        </w:tc>
        <w:tc>
          <w:tcPr>
            <w:tcW w:type="dxa" w:w="378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Рост, затем падение; атмосферное давление такое же или выше, чем 3 часа назад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Рост, затем ровный ход; или рост, затем более слабый рост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Атмосферное давление выше, чем 3 часа назад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Рост (равномерный или неравномерный)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Атмосферное давление выше, чем 3 часа назад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Падение или ровный ход, затем рост; затем более слабый рост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Атмосферное давление выше, чем 3 часа назад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Ровный ход; атмосферное давление такое же, как и 3 часа назад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Падение, затем рост; атмосферное давление такое же или ниже, чем 3 часа назад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Падение, затем ровный ход; или падение, затем более слабое падение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Атмосферное давление ниже, чем 3 часа назад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Падение (равномерное или неравномерное)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Атмосферное давление ниже, чем 3 часа назад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Ровный ход или рост, затем падение; или падение, затем падение более сильное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Атмосферное давление ниже, чем 3 часа назад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9-14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15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378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>
      <w:r>
        <w:rPr>
          <w:rFonts w:ascii="Verdana" w:hAnsi="Verdana"/>
          <w:i/>
          <w:sz w:val="14"/>
        </w:rPr>
        <w:t>Note 52: В сводках с автоматических станций следует использовать кодовую цифру 2, когда тенденция является положительной; 7 — отрицательной и 4, когда давление является таким же, как и 3 часа назад.</w:t>
      </w:r>
    </w:p>
    <w:p>
      <w:r>
        <w:rPr>
          <w:rFonts w:ascii="Verdana" w:hAnsi="Verdana"/>
          <w:i/>
          <w:sz w:val="14"/>
        </w:rPr>
        <w:t>Note 53: В сводках от тропических станций, сообщающих суточные изменения, следует использовать кодовую цифру 2 при положительной тенденции; 7 — при отрицательной тенденции и 4 — в случае, если давление остается таким же, как и за предшествующие 24 часа.</w:t>
      </w:r>
    </w:p>
    <w:p/>
    <w:p>
      <w:r>
        <w:rPr>
          <w:rFonts w:ascii="Verdana" w:hAnsi="Verdana"/>
          <w:b/>
          <w:sz w:val="18"/>
        </w:rPr>
        <w:t>0 10 064  Крейсерский эшелон SIGMET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5046"/>
        <w:gridCol w:w="5046"/>
        <w:gridCol w:w="5046"/>
      </w:tblGrid>
      <w:tr>
        <w:tc>
          <w:tcPr>
            <w:tcW w:type="dxa" w:w="113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КОДОВАЯ ЦИФРА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ЗНАЧЕНИЕ</w:t>
            </w:r>
          </w:p>
        </w:tc>
        <w:tc>
          <w:tcPr>
            <w:tcW w:type="dxa" w:w="5046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Дозвуковой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Околозвуковой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Сверхзвуковой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3-6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Зарезервированы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Отсутствующее значение</w:t>
            </w:r>
          </w:p>
        </w:tc>
        <w:tc>
          <w:tcPr>
            <w:tcW w:type="dxa" w:w="5046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p/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