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25: Обработка информации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строб-импульсов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Интегрирование отраженного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15: В коде CREX не имеется дескриптеров 3 03 021 — 3 03 027.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для фактора затухания A –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для экспоненты затухания A –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средней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Расширение расчета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неприемлемости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Параметр, определенный производителем или оператором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скользящей средней температуры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режиме, в котором используется профилометр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поддиапазоне применения профилометра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Результаты контроля качества данных профилометра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Искажение ТПМ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между ТПМ и анализом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продукции о ветре по измерениям 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сводок о направлении движения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сводок о скорости движения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HIRS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MSU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SSU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AMSU-А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AMSU-B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основных компонентов, нормализованных в соответствии с данными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Опознавательный номер субкадра SSMIS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Обслуживание мультиплексора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коррекций спутниковой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корректировки 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Структурная постоянная индекса рефракции (Cn2)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расчета данных РАСС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а уравнения скорости погружения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 уравнения скорости погружения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RA2-L2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RA2-L2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MWR-L2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модели, полученная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Линейный коэффициент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вариации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Потери при оптимальной оценке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измерения альтиметром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информации о СМОС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103: Модифицированный остаток, рассчитанный из местоположений датчиков и отношений сигнала-шума для вспышки.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отсечки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