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23: Dispersal and transport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Accident early notification - article applicable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Activity or facility involved in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Countermeasures taken near border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of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Incident situation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Characteristics of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current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State of expected release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Possibility of significant chemical toxic health effect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of major recipient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Release behaviour over time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Actual release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release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of release point or site of 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the atmosphere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speed in ground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the atmosphere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Main transport direction in ground water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Possibility that plume will encounter precipitation in State in which incident occurred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Plume will encounter change in wind direction and/or speed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- river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Flow discharge - well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