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Clase 02</w:t>
      </w:r>
    </w:p>
    <w:p>
      <w:r>
        <w:rPr>
          <w:rFonts w:ascii="Verdana" w:hAnsi="Verdana"/>
          <w:b/>
          <w:sz w:val="18"/>
        </w:rPr>
        <w:t>0 02 001  Tipo de estación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Estación automática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Estación dotada de personal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Estación mixta: dotada de personal y automática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02 002  Tipo de instrumentos para la medición del viento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Instrumentos homologados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Medidos inicialmente en nudos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Medidos inicialmente en km h-1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4</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r>
        <w:rPr>
          <w:rFonts w:ascii="Verdana" w:hAnsi="Verdana"/>
          <w:i/>
          <w:sz w:val="14"/>
        </w:rPr>
        <w:t>Note CF90: Tipo de instrumentos y unidades originales para la medición del viento (en m s¯¹, a menos que se indique otra cosa)</w:t>
      </w:r>
    </w:p>
    <w:p/>
    <w:p>
      <w:r>
        <w:rPr>
          <w:rFonts w:ascii="Verdana" w:hAnsi="Verdana"/>
          <w:b/>
          <w:sz w:val="18"/>
        </w:rPr>
        <w:t>0 02 003  Tipo de instrumentos de medición utilizados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Instrumentos de medida de la presión asociados con equipo de medida del viento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Teodolito óptico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Radioteodolito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Radar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Sistema Omega en ondas miriamétricas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Loran-C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Perfilador del viento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Navegación satelital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Sistema de sondeo radioacústico (RASS)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Sodar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Lidar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11-13</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Instrumento de medida de la presión asociado con equipos para la medición del viento, pero falla del elemento de medida de la presión durante el sondeo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02 004  Tipo de instrumento utilizado para medir la evaporación o tipo de cultivo para el que se informa la evapotranspiración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CIFRA DE CLAVE</w:t>
            </w:r>
          </w:p>
        </w:tc>
        <w:tc>
          <w:tcPr>
            <w:tcW w:type="dxa" w:w="3784"/>
            <w:shd w:val="clear" w:color="auto" w:fill="D9D9D9"/>
          </w:tcPr>
          <w:p>
            <w:pPr>
              <w:spacing w:before="20" w:after="20"/>
            </w:pPr>
            <w:r/>
            <w:r>
              <w:rPr>
                <w:rFonts w:ascii="Verdana" w:hAnsi="Verdana"/>
                <w:b w:val="0"/>
                <w:sz w:val="16"/>
              </w:rPr>
              <w:t>SIGNIFICADO</w:t>
            </w:r>
          </w:p>
        </w:tc>
        <w:tc>
          <w:tcPr>
            <w:tcW w:type="dxa" w:w="3784"/>
            <w:shd w:val="clear" w:color="auto" w:fill="D9D9D9"/>
          </w:tcPr>
          <w:p>
            <w:pPr>
              <w:spacing w:before="20" w:after="20"/>
            </w:pPr>
            <w:r/>
            <w:r>
              <w:rPr>
                <w:rFonts w:ascii="Verdana" w:hAnsi="Verdana"/>
                <w:b w:val="0"/>
                <w:sz w:val="16"/>
              </w:rPr>
              <w:t>SUB 1</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Evaporímetro de tanque abierto de los Estados Unidos (sin cubierta)</w:t>
            </w:r>
          </w:p>
        </w:tc>
        <w:tc>
          <w:tcPr>
            <w:tcW w:type="dxa" w:w="3784"/>
          </w:tcPr>
          <w:p>
            <w:pPr>
              <w:spacing w:before="20" w:after="20"/>
            </w:pPr>
            <w:r/>
            <w:r>
              <w:rPr>
                <w:rFonts w:ascii="Verdana" w:hAnsi="Verdana"/>
                <w:b w:val="0"/>
                <w:sz w:val="16"/>
              </w:rPr>
              <w:t>Evaporación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Evaporímetro de tanque abierto de los Estados Unidos (cubierta de malla)</w:t>
            </w:r>
          </w:p>
        </w:tc>
        <w:tc>
          <w:tcPr>
            <w:tcW w:type="dxa" w:w="3784"/>
          </w:tcPr>
          <w:p>
            <w:pPr>
              <w:spacing w:before="20" w:after="20"/>
            </w:pPr>
            <w:r/>
            <w:r>
              <w:rPr>
                <w:rFonts w:ascii="Verdana" w:hAnsi="Verdana"/>
                <w:b w:val="0"/>
                <w:sz w:val="16"/>
              </w:rPr>
              <w:t>Evaporación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Evaporímetro GGI-3000 (enterrado)</w:t>
            </w:r>
          </w:p>
        </w:tc>
        <w:tc>
          <w:tcPr>
            <w:tcW w:type="dxa" w:w="3784"/>
          </w:tcPr>
          <w:p>
            <w:pPr>
              <w:spacing w:before="20" w:after="20"/>
            </w:pPr>
            <w:r/>
            <w:r>
              <w:rPr>
                <w:rFonts w:ascii="Verdana" w:hAnsi="Verdana"/>
                <w:b w:val="0"/>
                <w:sz w:val="16"/>
              </w:rPr>
              <w:t>Evaporación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Tanque de 20 m²</w:t>
            </w:r>
          </w:p>
        </w:tc>
        <w:tc>
          <w:tcPr>
            <w:tcW w:type="dxa" w:w="3784"/>
          </w:tcPr>
          <w:p>
            <w:pPr>
              <w:spacing w:before="20" w:after="20"/>
            </w:pPr>
            <w:r/>
            <w:r>
              <w:rPr>
                <w:rFonts w:ascii="Verdana" w:hAnsi="Verdana"/>
                <w:b w:val="0"/>
                <w:sz w:val="16"/>
              </w:rPr>
              <w:t>Evaporación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Otros tipos</w:t>
            </w:r>
          </w:p>
        </w:tc>
        <w:tc>
          <w:tcPr>
            <w:tcW w:type="dxa" w:w="3784"/>
          </w:tcPr>
          <w:p>
            <w:pPr>
              <w:spacing w:before="20" w:after="20"/>
            </w:pPr>
            <w:r/>
            <w:r>
              <w:rPr>
                <w:rFonts w:ascii="Verdana" w:hAnsi="Verdana"/>
                <w:b w:val="0"/>
                <w:sz w:val="16"/>
              </w:rPr>
              <w:t>Evaporación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Arroz</w:t>
            </w:r>
          </w:p>
        </w:tc>
        <w:tc>
          <w:tcPr>
            <w:tcW w:type="dxa" w:w="3784"/>
          </w:tcPr>
          <w:p>
            <w:pPr>
              <w:spacing w:before="20" w:after="20"/>
            </w:pPr>
            <w:r/>
            <w:r>
              <w:rPr>
                <w:rFonts w:ascii="Verdana" w:hAnsi="Verdana"/>
                <w:b w:val="0"/>
                <w:sz w:val="16"/>
              </w:rPr>
              <w:t>Evapotranspiración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Trigo</w:t>
            </w:r>
          </w:p>
        </w:tc>
        <w:tc>
          <w:tcPr>
            <w:tcW w:type="dxa" w:w="3784"/>
          </w:tcPr>
          <w:p>
            <w:pPr>
              <w:spacing w:before="20" w:after="20"/>
            </w:pPr>
            <w:r/>
            <w:r>
              <w:rPr>
                <w:rFonts w:ascii="Verdana" w:hAnsi="Verdana"/>
                <w:b w:val="0"/>
                <w:sz w:val="16"/>
              </w:rPr>
              <w:t>Evapotranspiración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Maíz</w:t>
            </w:r>
          </w:p>
        </w:tc>
        <w:tc>
          <w:tcPr>
            <w:tcW w:type="dxa" w:w="3784"/>
          </w:tcPr>
          <w:p>
            <w:pPr>
              <w:spacing w:before="20" w:after="20"/>
            </w:pPr>
            <w:r/>
            <w:r>
              <w:rPr>
                <w:rFonts w:ascii="Verdana" w:hAnsi="Verdana"/>
                <w:b w:val="0"/>
                <w:sz w:val="16"/>
              </w:rPr>
              <w:t>Evapotranspiración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Sorgo</w:t>
            </w:r>
          </w:p>
        </w:tc>
        <w:tc>
          <w:tcPr>
            <w:tcW w:type="dxa" w:w="3784"/>
          </w:tcPr>
          <w:p>
            <w:pPr>
              <w:spacing w:before="20" w:after="20"/>
            </w:pPr>
            <w:r/>
            <w:r>
              <w:rPr>
                <w:rFonts w:ascii="Verdana" w:hAnsi="Verdana"/>
                <w:b w:val="0"/>
                <w:sz w:val="16"/>
              </w:rPr>
              <w:t>Evapotranspiración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Otros cultivos</w:t>
            </w:r>
          </w:p>
        </w:tc>
        <w:tc>
          <w:tcPr>
            <w:tcW w:type="dxa" w:w="3784"/>
          </w:tcPr>
          <w:p>
            <w:pPr>
              <w:spacing w:before="20" w:after="20"/>
            </w:pPr>
            <w:r/>
            <w:r>
              <w:rPr>
                <w:rFonts w:ascii="Verdana" w:hAnsi="Verdana"/>
                <w:b w:val="0"/>
                <w:sz w:val="16"/>
              </w:rPr>
              <w:t>Evapotranspiración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10-14</w:t>
            </w:r>
          </w:p>
        </w:tc>
        <w:tc>
          <w:tcPr>
            <w:tcW w:type="dxa" w:w="3784"/>
          </w:tcPr>
          <w:p>
            <w:pPr>
              <w:spacing w:before="20" w:after="20"/>
            </w:pPr>
            <w:r/>
            <w:r>
              <w:rPr>
                <w:rFonts w:ascii="Verdana" w:hAnsi="Verdana"/>
                <w:b w:val="0"/>
                <w:sz w:val="16"/>
              </w:rPr>
              <w:t>Reservadas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Valor faltante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02 006  Tipo de instrumento de teledetección en altitud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Lidar de retrodispersión elástica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Lidar de retrodispersión Ramn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Perfilador de viento por radar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Perfilador de viento con lidar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Perfilador de viento SODAR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Perfilador de viento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Lidar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8-62</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02 007  Tipo de sensor del instrumento de medición del nivel de agua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Sistema de flotadores de codificador de eje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Ultrasónico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Radar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Presión (transductor único)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Presión (transductor múltiple)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Presión (en pozo de amortiguación)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Presión de burbujeo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Acústico (con tubo de sondeo)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Acústico (a cielo abierto)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10-62</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02 008  Tipo de plataforma marina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Plataforma fija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Buque de perforación móvil en alta mar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Plataforma de perforación autoelevadora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Plataforma semisumergible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FPSO (unidad flotante de producción almacenamiento y descarga)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Barco ligero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02 011  Tipo de radiosonda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(Véase la Tabla de cifrado común C−2, Parte C/c.)</w:t>
            </w:r>
          </w:p>
        </w:tc>
      </w:tr>
    </w:tbl>
    <w:p>
      <w:r>
        <w:rPr>
          <w:rFonts w:ascii="Verdana" w:hAnsi="Verdana"/>
          <w:i/>
          <w:sz w:val="14"/>
        </w:rPr>
        <w:t>Note CF7: Véase la Tabla de cifrado común C–2, Parte C/c.</w:t>
      </w:r>
    </w:p>
    <w:p/>
    <w:p>
      <w:r>
        <w:rPr>
          <w:rFonts w:ascii="Verdana" w:hAnsi="Verdana"/>
          <w:b/>
          <w:sz w:val="18"/>
        </w:rPr>
        <w:t>0 02 012  Método de cálculo de radiosonda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(Se elaborará.)</w:t>
            </w:r>
          </w:p>
        </w:tc>
      </w:tr>
    </w:tbl>
    <w:p>
      <w:r>
        <w:rPr>
          <w:rFonts w:ascii="Verdana" w:hAnsi="Verdana"/>
          <w:i/>
          <w:sz w:val="14"/>
        </w:rPr>
        <w:t>Note CF15: Se elaborará.</w:t>
      </w:r>
    </w:p>
    <w:p/>
    <w:p>
      <w:r>
        <w:rPr>
          <w:rFonts w:ascii="Verdana" w:hAnsi="Verdana"/>
          <w:b/>
          <w:sz w:val="18"/>
        </w:rPr>
        <w:t>0 02 013  Corrección de la radiación solar y de infrarrojo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Ninguna corrección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Radiación solar y de infrarrojo corregidas por la CIMO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Radiación solar y radiación de infrarrojo corregida por la CIMO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Únicamente radiación solar corregida por la CIMO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Radiación solar y de infrarrojo corregidas automáticamente por sistema de radiosonda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Radiación solar corregida automáticamente por sistema de radiosonda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Radiación solar y de infrarrojo corregidas según lo especificado por el país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Radiación solar corregida según lo especificado por el país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Radiación solar y de infrarrojo corregida según lo especificado por la GRUAN*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Radiación solar corregida según lo especificado por la GRUAN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02 014  Técnica de seguimiento/situación del sistema utilizado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(Véase la Tabla de cifrado común C−7, Parte C/c.)</w:t>
            </w:r>
          </w:p>
        </w:tc>
      </w:tr>
    </w:tbl>
    <w:p>
      <w:r>
        <w:rPr>
          <w:rFonts w:ascii="Verdana" w:hAnsi="Verdana"/>
          <w:i/>
          <w:sz w:val="14"/>
        </w:rPr>
        <w:t>Note CF11: Véase la Tabla de cifrado común C–7, Parte C/c.</w:t>
      </w:r>
    </w:p>
    <w:p/>
    <w:p>
      <w:r>
        <w:rPr>
          <w:rFonts w:ascii="Verdana" w:hAnsi="Verdana"/>
          <w:b/>
          <w:sz w:val="18"/>
        </w:rPr>
        <w:t>0 02 015  Integralidad de la radiosonda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Radiosonda de medida de la presión únicamente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Radiosonda de medida de la presión únicamente y transpondedor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Radiosonda de medida de la presión únicamente y reflector de radar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Radiosonda que no mide la presión y transpondedor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Radiosonda que no mide la presión y reflector de radar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02 016  Configuración de la radiosonda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Regulador de arranque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Unidad luminosa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Paracaídas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Liberación desde azotea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02 017  Algoritmos de corrección de las mediciones de humedad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Sin correcciones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Corrección del tiempo de respuesta proporcionado por el fabricante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Corrección de la radiación solar proporcionada por el fabricante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Corrección de la radiación solar y del tiempo de respuesta proporcionados por el fabricante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Corrección de la radiación solar y del tiempo de respuesta según lo especificado por la GRUAN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8-30</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02 019  Instrumentos de satélite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(Véase la Tabla de cifrado común C–8, Parte C/c.)</w:t>
            </w:r>
          </w:p>
        </w:tc>
      </w:tr>
    </w:tbl>
    <w:p>
      <w:r>
        <w:rPr>
          <w:rFonts w:ascii="Verdana" w:hAnsi="Verdana"/>
          <w:i/>
          <w:sz w:val="14"/>
        </w:rPr>
        <w:t>Note CF12: Véase la Tabla de cifrado común C–8, Parte C/c.</w:t>
      </w:r>
    </w:p>
    <w:p/>
    <w:p>
      <w:r>
        <w:rPr>
          <w:rFonts w:ascii="Verdana" w:hAnsi="Verdana"/>
          <w:b/>
          <w:sz w:val="18"/>
        </w:rPr>
        <w:t>0 02 020  Clasificación de los satélites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Nimbus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VTPR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TIROS 1 (TIROS, NOAA-6 a NOAA-13)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TIROS 2 (de NOAA-14 hacia adelante)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EOS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GPM-core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DMSP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w:t>
            </w:r>
          </w:p>
        </w:tc>
        <w:tc>
          <w:tcPr>
            <w:tcW w:type="dxa" w:w="5046"/>
          </w:tcPr>
          <w:p>
            <w:pPr>
              <w:spacing w:before="20" w:after="20"/>
            </w:pPr>
            <w:r/>
            <w:r>
              <w:rPr>
                <w:rFonts w:ascii="Verdana" w:hAnsi="Verdana"/>
                <w:b w:val="0"/>
                <w:sz w:val="16"/>
              </w:rPr>
              <w:t>Sistema polar EUMETSAT (EPS)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w:t>
            </w:r>
          </w:p>
        </w:tc>
        <w:tc>
          <w:tcPr>
            <w:tcW w:type="dxa" w:w="5046"/>
          </w:tcPr>
          <w:p>
            <w:pPr>
              <w:spacing w:before="20" w:after="20"/>
            </w:pPr>
            <w:r/>
            <w:r>
              <w:rPr>
                <w:rFonts w:ascii="Verdana" w:hAnsi="Verdana"/>
                <w:b w:val="0"/>
                <w:sz w:val="16"/>
              </w:rPr>
              <w:t>ERS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92</w:t>
            </w:r>
          </w:p>
        </w:tc>
        <w:tc>
          <w:tcPr>
            <w:tcW w:type="dxa" w:w="5046"/>
          </w:tcPr>
          <w:p>
            <w:pPr>
              <w:spacing w:before="20" w:after="20"/>
            </w:pPr>
            <w:r/>
            <w:r>
              <w:rPr>
                <w:rFonts w:ascii="Verdana" w:hAnsi="Verdana"/>
                <w:b w:val="0"/>
                <w:sz w:val="16"/>
              </w:rPr>
              <w:t>Sentinel-3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121</w:t>
            </w:r>
          </w:p>
        </w:tc>
        <w:tc>
          <w:tcPr>
            <w:tcW w:type="dxa" w:w="5046"/>
          </w:tcPr>
          <w:p>
            <w:pPr>
              <w:spacing w:before="20" w:after="20"/>
            </w:pPr>
            <w:r/>
            <w:r>
              <w:rPr>
                <w:rFonts w:ascii="Verdana" w:hAnsi="Verdana"/>
                <w:b w:val="0"/>
                <w:sz w:val="16"/>
              </w:rPr>
              <w:t>ADEOS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122</w:t>
            </w:r>
          </w:p>
        </w:tc>
        <w:tc>
          <w:tcPr>
            <w:tcW w:type="dxa" w:w="5046"/>
          </w:tcPr>
          <w:p>
            <w:pPr>
              <w:spacing w:before="20" w:after="20"/>
            </w:pPr>
            <w:r/>
            <w:r>
              <w:rPr>
                <w:rFonts w:ascii="Verdana" w:hAnsi="Verdana"/>
                <w:b w:val="0"/>
                <w:sz w:val="16"/>
              </w:rPr>
              <w:t>GCOM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241</w:t>
            </w:r>
          </w:p>
        </w:tc>
        <w:tc>
          <w:tcPr>
            <w:tcW w:type="dxa" w:w="5046"/>
          </w:tcPr>
          <w:p>
            <w:pPr>
              <w:spacing w:before="20" w:after="20"/>
            </w:pPr>
            <w:r/>
            <w:r>
              <w:rPr>
                <w:rFonts w:ascii="Verdana" w:hAnsi="Verdana"/>
                <w:b w:val="0"/>
                <w:sz w:val="16"/>
              </w:rPr>
              <w:t>GOES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261</w:t>
            </w:r>
          </w:p>
        </w:tc>
        <w:tc>
          <w:tcPr>
            <w:tcW w:type="dxa" w:w="5046"/>
          </w:tcPr>
          <w:p>
            <w:pPr>
              <w:spacing w:before="20" w:after="20"/>
            </w:pPr>
            <w:r/>
            <w:r>
              <w:rPr>
                <w:rFonts w:ascii="Verdana" w:hAnsi="Verdana"/>
                <w:b w:val="0"/>
                <w:sz w:val="16"/>
              </w:rPr>
              <w:t>JASON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271</w:t>
            </w:r>
          </w:p>
        </w:tc>
        <w:tc>
          <w:tcPr>
            <w:tcW w:type="dxa" w:w="5046"/>
          </w:tcPr>
          <w:p>
            <w:pPr>
              <w:spacing w:before="20" w:after="20"/>
            </w:pPr>
            <w:r/>
            <w:r>
              <w:rPr>
                <w:rFonts w:ascii="Verdana" w:hAnsi="Verdana"/>
                <w:b w:val="0"/>
                <w:sz w:val="16"/>
              </w:rPr>
              <w:t>GMS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272</w:t>
            </w:r>
          </w:p>
        </w:tc>
        <w:tc>
          <w:tcPr>
            <w:tcW w:type="dxa" w:w="5046"/>
          </w:tcPr>
          <w:p>
            <w:pPr>
              <w:spacing w:before="20" w:after="20"/>
            </w:pPr>
            <w:r/>
            <w:r>
              <w:rPr>
                <w:rFonts w:ascii="Verdana" w:hAnsi="Verdana"/>
                <w:b w:val="0"/>
                <w:sz w:val="16"/>
              </w:rPr>
              <w:t>MTSAT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273</w:t>
            </w:r>
          </w:p>
        </w:tc>
        <w:tc>
          <w:tcPr>
            <w:tcW w:type="dxa" w:w="5046"/>
          </w:tcPr>
          <w:p>
            <w:pPr>
              <w:spacing w:before="20" w:after="20"/>
            </w:pPr>
            <w:r/>
            <w:r>
              <w:rPr>
                <w:rFonts w:ascii="Verdana" w:hAnsi="Verdana"/>
                <w:b w:val="0"/>
                <w:sz w:val="16"/>
              </w:rPr>
              <w:t>Himawari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281</w:t>
            </w:r>
          </w:p>
        </w:tc>
        <w:tc>
          <w:tcPr>
            <w:tcW w:type="dxa" w:w="5046"/>
          </w:tcPr>
          <w:p>
            <w:pPr>
              <w:spacing w:before="20" w:after="20"/>
            </w:pPr>
            <w:r/>
            <w:r>
              <w:rPr>
                <w:rFonts w:ascii="Verdana" w:hAnsi="Verdana"/>
                <w:b w:val="0"/>
                <w:sz w:val="16"/>
              </w:rPr>
              <w:t>COMS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301</w:t>
            </w:r>
          </w:p>
        </w:tc>
        <w:tc>
          <w:tcPr>
            <w:tcW w:type="dxa" w:w="5046"/>
          </w:tcPr>
          <w:p>
            <w:pPr>
              <w:spacing w:before="20" w:after="20"/>
            </w:pPr>
            <w:r/>
            <w:r>
              <w:rPr>
                <w:rFonts w:ascii="Verdana" w:hAnsi="Verdana"/>
                <w:b w:val="0"/>
                <w:sz w:val="16"/>
              </w:rPr>
              <w:t>INSAT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331</w:t>
            </w:r>
          </w:p>
        </w:tc>
        <w:tc>
          <w:tcPr>
            <w:tcW w:type="dxa" w:w="5046"/>
          </w:tcPr>
          <w:p>
            <w:pPr>
              <w:spacing w:before="20" w:after="20"/>
            </w:pPr>
            <w:r/>
            <w:r>
              <w:rPr>
                <w:rFonts w:ascii="Verdana" w:hAnsi="Verdana"/>
                <w:b w:val="0"/>
                <w:sz w:val="16"/>
              </w:rPr>
              <w:t>Programa operacional METEOSAT (MOP)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332</w:t>
            </w:r>
          </w:p>
        </w:tc>
        <w:tc>
          <w:tcPr>
            <w:tcW w:type="dxa" w:w="5046"/>
          </w:tcPr>
          <w:p>
            <w:pPr>
              <w:spacing w:before="20" w:after="20"/>
            </w:pPr>
            <w:r/>
            <w:r>
              <w:rPr>
                <w:rFonts w:ascii="Verdana" w:hAnsi="Verdana"/>
                <w:b w:val="0"/>
                <w:sz w:val="16"/>
              </w:rPr>
              <w:t>Programa Transicional METEOSAT (MTP)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333</w:t>
            </w:r>
          </w:p>
        </w:tc>
        <w:tc>
          <w:tcPr>
            <w:tcW w:type="dxa" w:w="5046"/>
          </w:tcPr>
          <w:p>
            <w:pPr>
              <w:spacing w:before="20" w:after="20"/>
            </w:pPr>
            <w:r/>
            <w:r>
              <w:rPr>
                <w:rFonts w:ascii="Verdana" w:hAnsi="Verdana"/>
                <w:b w:val="0"/>
                <w:sz w:val="16"/>
              </w:rPr>
              <w:t>Programa de Segunda Generación METEOSAT (MSG)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351</w:t>
            </w:r>
          </w:p>
        </w:tc>
        <w:tc>
          <w:tcPr>
            <w:tcW w:type="dxa" w:w="5046"/>
          </w:tcPr>
          <w:p>
            <w:pPr>
              <w:spacing w:before="20" w:after="20"/>
            </w:pPr>
            <w:r/>
            <w:r>
              <w:rPr>
                <w:rFonts w:ascii="Verdana" w:hAnsi="Verdana"/>
                <w:b w:val="0"/>
                <w:sz w:val="16"/>
              </w:rPr>
              <w:t>GOMS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380</w:t>
            </w:r>
          </w:p>
        </w:tc>
        <w:tc>
          <w:tcPr>
            <w:tcW w:type="dxa" w:w="5046"/>
          </w:tcPr>
          <w:p>
            <w:pPr>
              <w:spacing w:before="20" w:after="20"/>
            </w:pPr>
            <w:r/>
            <w:r>
              <w:rPr>
                <w:rFonts w:ascii="Verdana" w:hAnsi="Verdana"/>
                <w:b w:val="0"/>
                <w:sz w:val="16"/>
              </w:rPr>
              <w:t>FY-1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381</w:t>
            </w:r>
          </w:p>
        </w:tc>
        <w:tc>
          <w:tcPr>
            <w:tcW w:type="dxa" w:w="5046"/>
          </w:tcPr>
          <w:p>
            <w:pPr>
              <w:spacing w:before="20" w:after="20"/>
            </w:pPr>
            <w:r/>
            <w:r>
              <w:rPr>
                <w:rFonts w:ascii="Verdana" w:hAnsi="Verdana"/>
                <w:b w:val="0"/>
                <w:sz w:val="16"/>
              </w:rPr>
              <w:t>FY-2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382</w:t>
            </w:r>
          </w:p>
        </w:tc>
        <w:tc>
          <w:tcPr>
            <w:tcW w:type="dxa" w:w="5046"/>
          </w:tcPr>
          <w:p>
            <w:pPr>
              <w:spacing w:before="20" w:after="20"/>
            </w:pPr>
            <w:r/>
            <w:r>
              <w:rPr>
                <w:rFonts w:ascii="Verdana" w:hAnsi="Verdana"/>
                <w:b w:val="0"/>
                <w:sz w:val="16"/>
              </w:rPr>
              <w:t>FY-3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383</w:t>
            </w:r>
          </w:p>
        </w:tc>
        <w:tc>
          <w:tcPr>
            <w:tcW w:type="dxa" w:w="5046"/>
          </w:tcPr>
          <w:p>
            <w:pPr>
              <w:spacing w:before="20" w:after="20"/>
            </w:pPr>
            <w:r/>
            <w:r>
              <w:rPr>
                <w:rFonts w:ascii="Verdana" w:hAnsi="Verdana"/>
                <w:b w:val="0"/>
                <w:sz w:val="16"/>
              </w:rPr>
              <w:t>FY-4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384-400</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401</w:t>
            </w:r>
          </w:p>
        </w:tc>
        <w:tc>
          <w:tcPr>
            <w:tcW w:type="dxa" w:w="5046"/>
          </w:tcPr>
          <w:p>
            <w:pPr>
              <w:spacing w:before="20" w:after="20"/>
            </w:pPr>
            <w:r/>
            <w:r>
              <w:rPr>
                <w:rFonts w:ascii="Verdana" w:hAnsi="Verdana"/>
                <w:b w:val="0"/>
                <w:sz w:val="16"/>
              </w:rPr>
              <w:t>GPS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402</w:t>
            </w:r>
          </w:p>
        </w:tc>
        <w:tc>
          <w:tcPr>
            <w:tcW w:type="dxa" w:w="5046"/>
          </w:tcPr>
          <w:p>
            <w:pPr>
              <w:spacing w:before="20" w:after="20"/>
            </w:pPr>
            <w:r/>
            <w:r>
              <w:rPr>
                <w:rFonts w:ascii="Verdana" w:hAnsi="Verdana"/>
                <w:b w:val="0"/>
                <w:sz w:val="16"/>
              </w:rPr>
              <w:t>GLONASS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403</w:t>
            </w:r>
          </w:p>
        </w:tc>
        <w:tc>
          <w:tcPr>
            <w:tcW w:type="dxa" w:w="5046"/>
          </w:tcPr>
          <w:p>
            <w:pPr>
              <w:spacing w:before="20" w:after="20"/>
            </w:pPr>
            <w:r/>
            <w:r>
              <w:rPr>
                <w:rFonts w:ascii="Verdana" w:hAnsi="Verdana"/>
                <w:b w:val="0"/>
                <w:sz w:val="16"/>
              </w:rPr>
              <w:t>GALILEO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404</w:t>
            </w:r>
          </w:p>
        </w:tc>
        <w:tc>
          <w:tcPr>
            <w:tcW w:type="dxa" w:w="5046"/>
          </w:tcPr>
          <w:p>
            <w:pPr>
              <w:spacing w:before="20" w:after="20"/>
            </w:pPr>
            <w:r/>
            <w:r>
              <w:rPr>
                <w:rFonts w:ascii="Verdana" w:hAnsi="Verdana"/>
                <w:b w:val="0"/>
                <w:sz w:val="16"/>
              </w:rPr>
              <w:t>BDS (BeiDou sistema satelital de navegación)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405-510</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511</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02 021  Datos de instrumentos satelitales utilizados en el proceso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Sondas de alta precisión en infrarrojo (HIRS)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Unidad de sondeo por microondas (MSU)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Unidad de sondeo estratosférico (SSU)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Modo de viento AMI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Modo de onda AMI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Modo de imagen AMI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Altímetro radar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ATSR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9</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02 022  Técnica utilizada en el proceso de datos satelitales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Técnica de proceso sin especificar</w:t>
            </w:r>
          </w:p>
        </w:tc>
        <w:tc>
          <w:tcPr>
            <w:tcW w:type="dxa" w:w="5046"/>
          </w:tcPr>
          <w:p>
            <w:pPr>
              <w:spacing w:before="20" w:after="20"/>
            </w:pPr>
            <w:r/>
            <w:r>
              <w:rPr>
                <w:rFonts w:ascii="Verdana" w:hAnsi="Verdana"/>
                <w:b w:val="0"/>
                <w:sz w:val="16"/>
              </w:rPr>
              <w:t>Banderines de bit que indican los elementos incluidos en el proceso de datos de sondeo.</w:t>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Regresión estadística automatizada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Trayecto despejado</w:t>
            </w:r>
          </w:p>
        </w:tc>
        <w:tc>
          <w:tcPr>
            <w:tcW w:type="dxa" w:w="5046"/>
          </w:tcPr>
          <w:p>
            <w:pPr>
              <w:spacing w:before="20" w:after="20"/>
            </w:pPr>
            <w:r/>
            <w:r>
              <w:rPr>
                <w:rFonts w:ascii="Verdana" w:hAnsi="Verdana"/>
                <w:b w:val="0"/>
                <w:sz w:val="16"/>
              </w:rPr>
              <w:t>Note CF28: Por trayecto despejado se entiende que el sondeo se ha realizado a partir de radiancias claras obtenidas de mediciones reales en puntos despejados. Se han aplicado datos HIRS troposféricos y estratosféricos, así como datos MSU y SSU.</w:t>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Trayecto parcialmente nuboso</w:t>
            </w:r>
          </w:p>
        </w:tc>
        <w:tc>
          <w:tcPr>
            <w:tcW w:type="dxa" w:w="5046"/>
          </w:tcPr>
          <w:p>
            <w:pPr>
              <w:spacing w:before="20" w:after="20"/>
            </w:pPr>
            <w:r/>
            <w:r>
              <w:rPr>
                <w:rFonts w:ascii="Verdana" w:hAnsi="Verdana"/>
                <w:b w:val="0"/>
                <w:sz w:val="16"/>
              </w:rPr>
              <w:t>Note CF62: Por trayecto parcialmente nuboso se entiende que el sondeo se ha llevado a cabo a partir de radiancias claras que se han calculado en puntos parcialmente nubosos. Se han aplicado datos HIRS, troposféricos y estratosféricos, así como datos MSU y SSU.</w:t>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Trayecto nuboso</w:t>
            </w:r>
          </w:p>
        </w:tc>
        <w:tc>
          <w:tcPr>
            <w:tcW w:type="dxa" w:w="5046"/>
          </w:tcPr>
          <w:p>
            <w:pPr>
              <w:spacing w:before="20" w:after="20"/>
            </w:pPr>
            <w:r/>
            <w:r>
              <w:rPr>
                <w:rFonts w:ascii="Verdana" w:hAnsi="Verdana"/>
                <w:b w:val="0"/>
                <w:sz w:val="16"/>
              </w:rPr>
              <w:t>Note CF30: Por trayecto nuboso se entiende que el sondeo se ha realizado únicamente a partir de datos HIRS stratosféricos, y datos MSU y SSU. No se han aplicado datos HIRS troposféricos a causa de nubosidad</w:t>
            </w:r>
          </w:p>
        </w:tc>
      </w:tr>
      <w:tr>
        <w:trPr>
          <w:cantSplit/>
        </w:trPr>
        <w:tc>
          <w:tcPr>
            <w:tcW w:type="dxa" w:w="5046"/>
          </w:tcPr>
          <w:p>
            <w:pPr>
              <w:spacing w:before="20" w:after="20"/>
            </w:pPr>
            <w:r/>
            <w:r>
              <w:rPr>
                <w:rFonts w:ascii="Verdana" w:hAnsi="Verdana"/>
                <w:b w:val="0"/>
                <w:sz w:val="16"/>
              </w:rPr>
              <w:t>6-7</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8</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r>
        <w:rPr>
          <w:rFonts w:ascii="Verdana" w:hAnsi="Verdana"/>
          <w:i/>
          <w:sz w:val="14"/>
        </w:rPr>
        <w:t>Note CF22: Banderines de bit que indican los elementos incluidos en el proceso de datos de sondeo</w:t>
      </w:r>
    </w:p>
    <w:p/>
    <w:p>
      <w:r>
        <w:rPr>
          <w:rFonts w:ascii="Verdana" w:hAnsi="Verdana"/>
          <w:b/>
          <w:sz w:val="18"/>
        </w:rPr>
        <w:t>0 02 023  Método de cálculo del viento a partir de datos satelitales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Viento derivado del movimiento de las nubes observado en el canal del infrarrojo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Viento derivado del movimiento de las nubes observado en el canal visible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Viento derivado del movimiento de las nubes observado en el canal del vapor de agua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Viento derivado del movimiento observado en varios canales espectrales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Viento derivado del movimiento observado en el canal del vapor de agua en cielo despejado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Viento derivado del movimiento observado en el canal del ozono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Viento derivado del movimiento observado en el canal del vapor de agua (nubes o cielo despejado no especificados)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8-12</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Media cuadrática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02 024  Método de cálculo de la humedad media integrada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Tabla con toda la gama de variación de la humedad en la capa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Técnica de regresión aplicada a 2 valores de humedad de la capa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02 025  Canal(es) satelital(es) utilizado(s) en el cálculo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Reservado</w:t>
            </w:r>
          </w:p>
        </w:tc>
        <w:tc>
          <w:tcPr>
            <w:tcW w:type="dxa" w:w="5046"/>
          </w:tcPr>
          <w:p>
            <w:pPr>
              <w:spacing w:before="20" w:after="20"/>
            </w:pPr>
            <w:r/>
            <w:r>
              <w:rPr>
                <w:rFonts w:ascii="Verdana" w:hAnsi="Verdana"/>
                <w:b w:val="0"/>
                <w:sz w:val="16"/>
              </w:rPr>
              <w:t>Los banderines de bits indican el instrumento y/o canales utilizados para obtener diversos parámetros físicos. Cuando, en cualquier grupo de parámetros, todos los bits = 0, no se efectúa recuperación respecto a ese parámetro o serie de parámetros.</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Grupo 1 - Agua precipitable para las capas: superficie hasta 700 hPa, 700 a 500 hPa, y 500 a 300 hPa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HIRS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MSU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4-5</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Grupo 2 - Temperatura y presión tropopáusicas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HIRS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MSU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8-9</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Grupo 3 - Total de ozono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HIRS (1, 2, 3, 8, 9, 16, 17)</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HIRS (1, 2, 3, 9, 17)</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MSU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13-14</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Grupo 4 - Temperatura media para las capas: superficie hasta 850 hPa, 850 a 700 hPa, 700 a 500 hPa, 500 a 400 hPa, 400 a 300 hPa, 300 a 200 hPa, y 200 a 100 hPa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HIRS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HIRS</w:t>
            </w:r>
          </w:p>
        </w:tc>
        <w:tc>
          <w:tcPr>
            <w:tcW w:type="dxa" w:w="5046"/>
          </w:tcPr>
          <w:p>
            <w:pPr>
              <w:spacing w:before="20" w:after="20"/>
            </w:pPr>
            <w:r/>
            <w:r>
              <w:rPr>
                <w:rFonts w:ascii="Verdana" w:hAnsi="Verdana"/>
                <w:b w:val="0"/>
                <w:sz w:val="16"/>
              </w:rPr>
              <w:t>Note CF47: HIRS* equivale a : canales HIRS 1 (669 cm–1) 2 (679 cm–1) 3 (690 cm–1) 4 (2 358 cm–1)</w:t>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MSU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SKINTK (únicamente océano)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19-20</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Grupo 5 - Combinaciones de canales utilizadas para obtener temperaturas medias de las capas: 100 a 70 hPa, 70 a 50 hPa, 50 a 30 hPa, 30 a 10 hPa, 10 a 5 hPa, 5 a 2 hPa, 2 a 1 hPa, 1 a 0,4 hPa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HIRS</w:t>
            </w:r>
          </w:p>
        </w:tc>
        <w:tc>
          <w:tcPr>
            <w:tcW w:type="dxa" w:w="5046"/>
          </w:tcPr>
          <w:p>
            <w:pPr>
              <w:spacing w:before="20" w:after="20"/>
            </w:pPr>
            <w:r/>
            <w:r>
              <w:rPr>
                <w:rFonts w:ascii="Verdana" w:hAnsi="Verdana"/>
                <w:b w:val="0"/>
                <w:sz w:val="16"/>
              </w:rPr>
              <w:t>Note CF47: HIRS* equivale a : canales HIRS 1 (669 cm–1) 2 (679 cm–1) 3 (690 cm–1) 4 (2 358 cm–1)</w:t>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SSU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MSU (3, 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Reservado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25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r>
        <w:rPr>
          <w:rFonts w:ascii="Verdana" w:hAnsi="Verdana"/>
          <w:i/>
          <w:sz w:val="14"/>
        </w:rPr>
        <w:t>Note CF23: Cifras de clave 1 a 9: duración y tiempo de la medición de la corriente (método vectorial o método Doppler de perfil de corriente).</w:t>
      </w:r>
    </w:p>
    <w:p/>
    <w:p>
      <w:r>
        <w:rPr>
          <w:rFonts w:ascii="Verdana" w:hAnsi="Verdana"/>
          <w:b/>
          <w:sz w:val="18"/>
        </w:rPr>
        <w:t>0 02 030  Método de medición de la corriente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ADCP (perfilador de corriente de efecto Doppler)</w:t>
            </w:r>
          </w:p>
        </w:tc>
        <w:tc>
          <w:tcPr>
            <w:tcW w:type="dxa" w:w="5046"/>
          </w:tcPr>
          <w:p>
            <w:pPr>
              <w:spacing w:before="20" w:after="20"/>
            </w:pPr>
            <w:r/>
            <w:r>
              <w:rPr>
                <w:rFonts w:ascii="Verdana" w:hAnsi="Verdana"/>
                <w:b w:val="0"/>
                <w:sz w:val="16"/>
              </w:rPr>
              <w:t>Note CF91: Valor relegado. Utilícese en su lugar la cifra de clave 6.</w:t>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GEK (Electrocinetógrafo geomagnético)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Dirección y deriva del buque determinadas mediante marcaciones efectuadas a intervalos de 3 a 6 horas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Dirección y deriva del buque determinadas mediante marcaciones efectuadas a intervalos superiores a 6 horas, pero inferiores a 12 horas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Deriva de la boya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ADCP (perfilador de corriente de efecto Doppler)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02 031  Duración y hora de medición de la corriente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CIFRA DE CLAVE</w:t>
            </w:r>
          </w:p>
        </w:tc>
        <w:tc>
          <w:tcPr>
            <w:tcW w:type="dxa" w:w="3784"/>
            <w:shd w:val="clear" w:color="auto" w:fill="D9D9D9"/>
          </w:tcPr>
          <w:p>
            <w:pPr>
              <w:spacing w:before="20" w:after="20"/>
            </w:pPr>
            <w:r/>
            <w:r>
              <w:rPr>
                <w:rFonts w:ascii="Verdana" w:hAnsi="Verdana"/>
                <w:b w:val="0"/>
                <w:sz w:val="16"/>
              </w:rPr>
              <w:t>SIGNIFICADO</w:t>
            </w:r>
          </w:p>
        </w:tc>
        <w:tc>
          <w:tcPr>
            <w:tcW w:type="dxa" w:w="3784"/>
            <w:shd w:val="clear" w:color="auto" w:fill="D9D9D9"/>
          </w:tcPr>
          <w:p>
            <w:pPr>
              <w:spacing w:before="20" w:after="20"/>
            </w:pPr>
            <w:r/>
            <w:r>
              <w:rPr>
                <w:rFonts w:ascii="Verdana" w:hAnsi="Verdana"/>
                <w:b w:val="0"/>
                <w:sz w:val="16"/>
              </w:rPr>
              <w:t>SUB 1</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Reservada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Instantánea</w:t>
            </w:r>
          </w:p>
        </w:tc>
        <w:tc>
          <w:tcPr>
            <w:tcW w:type="dxa" w:w="3784"/>
          </w:tcPr>
          <w:p>
            <w:pPr>
              <w:spacing w:before="20" w:after="20"/>
            </w:pPr>
            <w:r/>
            <w:r>
              <w:rPr>
                <w:rFonts w:ascii="Verdana" w:hAnsi="Verdana"/>
                <w:b w:val="0"/>
                <w:sz w:val="16"/>
              </w:rPr>
              <w:t>Entre H-1 y 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Promedio de 3 min o menos</w:t>
            </w:r>
          </w:p>
        </w:tc>
        <w:tc>
          <w:tcPr>
            <w:tcW w:type="dxa" w:w="3784"/>
          </w:tcPr>
          <w:p>
            <w:pPr>
              <w:spacing w:before="20" w:after="20"/>
            </w:pPr>
            <w:r/>
            <w:r>
              <w:rPr>
                <w:rFonts w:ascii="Verdana" w:hAnsi="Verdana"/>
                <w:b w:val="0"/>
                <w:sz w:val="16"/>
              </w:rPr>
              <w:t>Entre H-1 y 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Promedio de más de 3 min, pero hasta un máximo de 6 min</w:t>
            </w:r>
          </w:p>
        </w:tc>
        <w:tc>
          <w:tcPr>
            <w:tcW w:type="dxa" w:w="3784"/>
          </w:tcPr>
          <w:p>
            <w:pPr>
              <w:spacing w:before="20" w:after="20"/>
            </w:pPr>
            <w:r/>
            <w:r>
              <w:rPr>
                <w:rFonts w:ascii="Verdana" w:hAnsi="Verdana"/>
                <w:b w:val="0"/>
                <w:sz w:val="16"/>
              </w:rPr>
              <w:t>Entre H-1 y 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Promedio de más de 6 min, pero hasta un máximo de 12 min</w:t>
            </w:r>
          </w:p>
        </w:tc>
        <w:tc>
          <w:tcPr>
            <w:tcW w:type="dxa" w:w="3784"/>
          </w:tcPr>
          <w:p>
            <w:pPr>
              <w:spacing w:before="20" w:after="20"/>
            </w:pPr>
            <w:r/>
            <w:r>
              <w:rPr>
                <w:rFonts w:ascii="Verdana" w:hAnsi="Verdana"/>
                <w:b w:val="0"/>
                <w:sz w:val="16"/>
              </w:rPr>
              <w:t>Entre H-1 y 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Instantánea</w:t>
            </w:r>
          </w:p>
        </w:tc>
        <w:tc>
          <w:tcPr>
            <w:tcW w:type="dxa" w:w="3784"/>
          </w:tcPr>
          <w:p>
            <w:pPr>
              <w:spacing w:before="20" w:after="20"/>
            </w:pPr>
            <w:r/>
            <w:r>
              <w:rPr>
                <w:rFonts w:ascii="Verdana" w:hAnsi="Verdana"/>
                <w:b w:val="0"/>
                <w:sz w:val="16"/>
              </w:rPr>
              <w:t>Entre H-2 y H-1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Promedio de 3 min o menos</w:t>
            </w:r>
          </w:p>
        </w:tc>
        <w:tc>
          <w:tcPr>
            <w:tcW w:type="dxa" w:w="3784"/>
          </w:tcPr>
          <w:p>
            <w:pPr>
              <w:spacing w:before="20" w:after="20"/>
            </w:pPr>
            <w:r/>
            <w:r>
              <w:rPr>
                <w:rFonts w:ascii="Verdana" w:hAnsi="Verdana"/>
                <w:b w:val="0"/>
                <w:sz w:val="16"/>
              </w:rPr>
              <w:t>Entre H-2 y H-1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Promedio de más de 3 min, pero hasta un máximo de 6 min</w:t>
            </w:r>
          </w:p>
        </w:tc>
        <w:tc>
          <w:tcPr>
            <w:tcW w:type="dxa" w:w="3784"/>
          </w:tcPr>
          <w:p>
            <w:pPr>
              <w:spacing w:before="20" w:after="20"/>
            </w:pPr>
            <w:r/>
            <w:r>
              <w:rPr>
                <w:rFonts w:ascii="Verdana" w:hAnsi="Verdana"/>
                <w:b w:val="0"/>
                <w:sz w:val="16"/>
              </w:rPr>
              <w:t>Entre H-2 y H-1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Promedio de más de 6 min, pero hasta un máximo de 12 min</w:t>
            </w:r>
          </w:p>
        </w:tc>
        <w:tc>
          <w:tcPr>
            <w:tcW w:type="dxa" w:w="3784"/>
          </w:tcPr>
          <w:p>
            <w:pPr>
              <w:spacing w:before="20" w:after="20"/>
            </w:pPr>
            <w:r/>
            <w:r>
              <w:rPr>
                <w:rFonts w:ascii="Verdana" w:hAnsi="Verdana"/>
                <w:b w:val="0"/>
                <w:sz w:val="16"/>
              </w:rPr>
              <w:t>Entre H-2 y H-1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No se utiliza el método vectorial o de perfil de corriente por efecto Doppler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w:t>
            </w:r>
          </w:p>
        </w:tc>
        <w:tc>
          <w:tcPr>
            <w:tcW w:type="dxa" w:w="3784"/>
          </w:tcPr>
          <w:p>
            <w:pPr>
              <w:spacing w:before="20" w:after="20"/>
            </w:pPr>
            <w:r/>
            <w:r>
              <w:rPr>
                <w:rFonts w:ascii="Verdana" w:hAnsi="Verdana"/>
                <w:b w:val="0"/>
                <w:sz w:val="16"/>
              </w:rPr>
              <w:t>Reservada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w:t>
            </w:r>
          </w:p>
        </w:tc>
        <w:tc>
          <w:tcPr>
            <w:tcW w:type="dxa" w:w="3784"/>
          </w:tcPr>
          <w:p>
            <w:pPr>
              <w:spacing w:before="20" w:after="20"/>
            </w:pPr>
            <w:r/>
            <w:r>
              <w:rPr>
                <w:rFonts w:ascii="Verdana" w:hAnsi="Verdana"/>
                <w:b w:val="0"/>
                <w:sz w:val="16"/>
              </w:rPr>
              <w:t>Una hora o menos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w:t>
            </w:r>
          </w:p>
        </w:tc>
        <w:tc>
          <w:tcPr>
            <w:tcW w:type="dxa" w:w="3784"/>
          </w:tcPr>
          <w:p>
            <w:pPr>
              <w:spacing w:before="20" w:after="20"/>
            </w:pPr>
            <w:r/>
            <w:r>
              <w:rPr>
                <w:rFonts w:ascii="Verdana" w:hAnsi="Verdana"/>
                <w:b w:val="0"/>
                <w:sz w:val="16"/>
              </w:rPr>
              <w:t>Más de 1 hora, pero como máximo 2 horas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w:t>
            </w:r>
          </w:p>
        </w:tc>
        <w:tc>
          <w:tcPr>
            <w:tcW w:type="dxa" w:w="3784"/>
          </w:tcPr>
          <w:p>
            <w:pPr>
              <w:spacing w:before="20" w:after="20"/>
            </w:pPr>
            <w:r/>
            <w:r>
              <w:rPr>
                <w:rFonts w:ascii="Verdana" w:hAnsi="Verdana"/>
                <w:b w:val="0"/>
                <w:sz w:val="16"/>
              </w:rPr>
              <w:t>Más de 2 horas, pero como máximo 4 horas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w:t>
            </w:r>
          </w:p>
        </w:tc>
        <w:tc>
          <w:tcPr>
            <w:tcW w:type="dxa" w:w="3784"/>
          </w:tcPr>
          <w:p>
            <w:pPr>
              <w:spacing w:before="20" w:after="20"/>
            </w:pPr>
            <w:r/>
            <w:r>
              <w:rPr>
                <w:rFonts w:ascii="Verdana" w:hAnsi="Verdana"/>
                <w:b w:val="0"/>
                <w:sz w:val="16"/>
              </w:rPr>
              <w:t>Más de 4 horas, pero como máximo 8 horas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Más de 8 horas, pero como máximo 12 horas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w:t>
            </w:r>
          </w:p>
        </w:tc>
        <w:tc>
          <w:tcPr>
            <w:tcW w:type="dxa" w:w="3784"/>
          </w:tcPr>
          <w:p>
            <w:pPr>
              <w:spacing w:before="20" w:after="20"/>
            </w:pPr>
            <w:r/>
            <w:r>
              <w:rPr>
                <w:rFonts w:ascii="Verdana" w:hAnsi="Verdana"/>
                <w:b w:val="0"/>
                <w:sz w:val="16"/>
              </w:rPr>
              <w:t>Más de 12 horas, pero como máximo 18 horas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w:t>
            </w:r>
          </w:p>
        </w:tc>
        <w:tc>
          <w:tcPr>
            <w:tcW w:type="dxa" w:w="3784"/>
          </w:tcPr>
          <w:p>
            <w:pPr>
              <w:spacing w:before="20" w:after="20"/>
            </w:pPr>
            <w:r/>
            <w:r>
              <w:rPr>
                <w:rFonts w:ascii="Verdana" w:hAnsi="Verdana"/>
                <w:b w:val="0"/>
                <w:sz w:val="16"/>
              </w:rPr>
              <w:t>Más de 18 horas, pero como máximo 24 horas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w:t>
            </w:r>
          </w:p>
        </w:tc>
        <w:tc>
          <w:tcPr>
            <w:tcW w:type="dxa" w:w="3784"/>
          </w:tcPr>
          <w:p>
            <w:pPr>
              <w:spacing w:before="20" w:after="20"/>
            </w:pPr>
            <w:r/>
            <w:r>
              <w:rPr>
                <w:rFonts w:ascii="Verdana" w:hAnsi="Verdana"/>
                <w:b w:val="0"/>
                <w:sz w:val="16"/>
              </w:rPr>
              <w:t>Reservada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w:t>
            </w:r>
          </w:p>
        </w:tc>
        <w:tc>
          <w:tcPr>
            <w:tcW w:type="dxa" w:w="3784"/>
          </w:tcPr>
          <w:p>
            <w:pPr>
              <w:spacing w:before="20" w:after="20"/>
            </w:pPr>
            <w:r/>
            <w:r>
              <w:rPr>
                <w:rFonts w:ascii="Verdana" w:hAnsi="Verdana"/>
                <w:b w:val="0"/>
                <w:sz w:val="16"/>
              </w:rPr>
              <w:t>No se utiliza el método de deriva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20-30</w:t>
            </w:r>
          </w:p>
        </w:tc>
        <w:tc>
          <w:tcPr>
            <w:tcW w:type="dxa" w:w="3784"/>
          </w:tcPr>
          <w:p>
            <w:pPr>
              <w:spacing w:before="20" w:after="20"/>
            </w:pPr>
            <w:r/>
            <w:r>
              <w:rPr>
                <w:rFonts w:ascii="Verdana" w:hAnsi="Verdana"/>
                <w:b w:val="0"/>
                <w:sz w:val="16"/>
              </w:rPr>
              <w:t>Reservadas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31</w:t>
            </w:r>
          </w:p>
        </w:tc>
        <w:tc>
          <w:tcPr>
            <w:tcW w:type="dxa" w:w="3784"/>
          </w:tcPr>
          <w:p>
            <w:pPr>
              <w:spacing w:before="20" w:after="20"/>
            </w:pPr>
            <w:r/>
            <w:r>
              <w:rPr>
                <w:rFonts w:ascii="Verdana" w:hAnsi="Verdana"/>
                <w:b w:val="0"/>
                <w:sz w:val="16"/>
              </w:rPr>
              <w:t>Valor faltante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r>
        <w:rPr>
          <w:rFonts w:ascii="Verdana" w:hAnsi="Verdana"/>
          <w:i/>
          <w:sz w:val="14"/>
        </w:rPr>
        <w:t>Note CF32: Cifras de clave 1 a 9: duración y tiempo de la medición de la corriente (método vectorial o método Doppler de perfil de corriente)."</w:t>
      </w:r>
    </w:p>
    <w:p>
      <w:r>
        <w:rPr>
          <w:rFonts w:ascii="Verdana" w:hAnsi="Verdana"/>
          <w:i/>
          <w:sz w:val="14"/>
        </w:rPr>
        <w:t>Note CF33: Cifras de clave 11 a 19: período de medición de la corriente (método de deriva).</w:t>
      </w:r>
    </w:p>
    <w:p>
      <w:r>
        <w:rPr>
          <w:rFonts w:ascii="Verdana" w:hAnsi="Verdana"/>
          <w:i/>
          <w:sz w:val="14"/>
        </w:rPr>
        <w:t>Note CF45: H = hora de observación.</w:t>
      </w:r>
    </w:p>
    <w:p/>
    <w:p>
      <w:r>
        <w:rPr>
          <w:rFonts w:ascii="Verdana" w:hAnsi="Verdana"/>
          <w:b/>
          <w:sz w:val="18"/>
        </w:rPr>
        <w:t>0 02 032  Indicador de digitalización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Valores correspondientes a profundidades seleccionadas (puntos fijados por el instrumento o por cualquier otro método)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Valores correspondientes a profundidades seleccionadas (puntos tomados de un gráfico de registro a profundidades significativas)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02 033  Método de medición de la salinidad/profundidad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se ha medido la salinidad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Sensor en el lugar, precisión superior a 0,02‰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Sensor en el lugar, precisión inferior a 0,02‰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Análisis de muestras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02 034  Tipo de ancla flotante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Ancla flotante no especificada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Manga de viento con orificios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TRISTAR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Visera de ventana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Paracaídas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Ancla marina no lagrangiana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6-30</w:t>
            </w:r>
          </w:p>
        </w:tc>
        <w:tc>
          <w:tcPr>
            <w:tcW w:type="dxa" w:w="5046"/>
          </w:tcPr>
          <w:p>
            <w:pPr>
              <w:spacing w:before="20" w:after="20"/>
            </w:pPr>
            <w:r/>
            <w:r>
              <w:rPr>
                <w:rFonts w:ascii="Verdana" w:hAnsi="Verdana"/>
                <w:b w:val="0"/>
                <w:sz w:val="16"/>
              </w:rPr>
              <w:t>Reservadas (se elaborarán)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02 036  Tipo de boya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Boya a la deriva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Boya fija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Flotadores subsuperficiales (móviles)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02 037  Método de observación de las mareas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Lectura manual en una escala vertical de la marea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Lectura manual en la estación en un solo registrador automático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Lectura manual en la estación en varios registradores automáticos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Lectura automática en la estación en un solo registrador automático sin control de la referencia de nivel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Lectura automática en la estación en un solo registrador automático con control de la referencia de nivel, o en varios registradores automáticos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02 038  Método de medición de la temperatura y/o salinidad del agua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Toma de agua del buque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Cubeta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Sensor de contacto con el casco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Termómetro de inversión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Sensor STD/CTD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BT mecánico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BT no recuperable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BT digital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Cadena de termistor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Explorador de infrarrojo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Explorador de microondas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Radiómetro infrarrojo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Termosalinógrafo en línea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Cuerpo remolcado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Otros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02 039  Método de medición de la temperatura con bulbo húmedo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Medición con bulbo húmedo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Medición con bulbo húmedo cuando el bulbo está helado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Cálculo con bulbo húmedo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Cálculo con bulbo húmedo cuando el bulbo está helado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02 040  Método para eliminar los efectos de la velocidad y del movimiento de la plataforma en la medición de la corriente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CIFRA DE CLAVE</w:t>
            </w:r>
          </w:p>
        </w:tc>
        <w:tc>
          <w:tcPr>
            <w:tcW w:type="dxa" w:w="3784"/>
            <w:shd w:val="clear" w:color="auto" w:fill="D9D9D9"/>
          </w:tcPr>
          <w:p>
            <w:pPr>
              <w:spacing w:before="20" w:after="20"/>
            </w:pPr>
            <w:r/>
            <w:r>
              <w:rPr>
                <w:rFonts w:ascii="Verdana" w:hAnsi="Verdana"/>
                <w:b w:val="0"/>
                <w:sz w:val="16"/>
              </w:rPr>
              <w:t>SIGNIFICADO</w:t>
            </w:r>
          </w:p>
        </w:tc>
        <w:tc>
          <w:tcPr>
            <w:tcW w:type="dxa" w:w="3784"/>
            <w:shd w:val="clear" w:color="auto" w:fill="D9D9D9"/>
          </w:tcPr>
          <w:p>
            <w:pPr>
              <w:spacing w:before="20" w:after="20"/>
            </w:pPr>
            <w:r/>
            <w:r>
              <w:rPr>
                <w:rFonts w:ascii="Verdana" w:hAnsi="Verdana"/>
                <w:b w:val="0"/>
                <w:sz w:val="16"/>
              </w:rPr>
              <w:t>SUB 1</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Movimiento del buque eliminado mediante el establecimiento de la media</w:t>
            </w:r>
          </w:p>
        </w:tc>
        <w:tc>
          <w:tcPr>
            <w:tcW w:type="dxa" w:w="3784"/>
          </w:tcPr>
          <w:p>
            <w:pPr>
              <w:spacing w:before="20" w:after="20"/>
            </w:pPr>
            <w:r/>
            <w:r>
              <w:rPr>
                <w:rFonts w:ascii="Verdana" w:hAnsi="Verdana"/>
                <w:b w:val="0"/>
                <w:sz w:val="16"/>
              </w:rPr>
              <w:t>Velocidad del buque eliminada por un sistema de localización del fondo del océano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Movimiento del buque eliminado por compensación</w:t>
            </w:r>
          </w:p>
        </w:tc>
        <w:tc>
          <w:tcPr>
            <w:tcW w:type="dxa" w:w="3784"/>
          </w:tcPr>
          <w:p>
            <w:pPr>
              <w:spacing w:before="20" w:after="20"/>
            </w:pPr>
            <w:r/>
            <w:r>
              <w:rPr>
                <w:rFonts w:ascii="Verdana" w:hAnsi="Verdana"/>
                <w:b w:val="0"/>
                <w:sz w:val="16"/>
              </w:rPr>
              <w:t>Velocidad del buque eliminada por un sistema de localización del fondo del océano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Movimiento del buque no eliminado</w:t>
            </w:r>
          </w:p>
        </w:tc>
        <w:tc>
          <w:tcPr>
            <w:tcW w:type="dxa" w:w="3784"/>
          </w:tcPr>
          <w:p>
            <w:pPr>
              <w:spacing w:before="20" w:after="20"/>
            </w:pPr>
            <w:r/>
            <w:r>
              <w:rPr>
                <w:rFonts w:ascii="Verdana" w:hAnsi="Verdana"/>
                <w:b w:val="0"/>
                <w:sz w:val="16"/>
              </w:rPr>
              <w:t>Velocidad del buque eliminada por un sistema de localización del fondo del océano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Movimiento del buque eliminado mediante el establecimiento de la media</w:t>
            </w:r>
          </w:p>
        </w:tc>
        <w:tc>
          <w:tcPr>
            <w:tcW w:type="dxa" w:w="3784"/>
          </w:tcPr>
          <w:p>
            <w:pPr>
              <w:spacing w:before="20" w:after="20"/>
            </w:pPr>
            <w:r/>
            <w:r>
              <w:rPr>
                <w:rFonts w:ascii="Verdana" w:hAnsi="Verdana"/>
                <w:b w:val="0"/>
                <w:sz w:val="16"/>
              </w:rPr>
              <w:t>Velocidad del buque eliminada por otros sistemas de navegación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Movimiento del buque eliminado por compensación</w:t>
            </w:r>
          </w:p>
        </w:tc>
        <w:tc>
          <w:tcPr>
            <w:tcW w:type="dxa" w:w="3784"/>
          </w:tcPr>
          <w:p>
            <w:pPr>
              <w:spacing w:before="20" w:after="20"/>
            </w:pPr>
            <w:r/>
            <w:r>
              <w:rPr>
                <w:rFonts w:ascii="Verdana" w:hAnsi="Verdana"/>
                <w:b w:val="0"/>
                <w:sz w:val="16"/>
              </w:rPr>
              <w:t>Velocidad del buque eliminada por otros sistemas de navegación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Movimiento del buque no eliminado</w:t>
            </w:r>
          </w:p>
        </w:tc>
        <w:tc>
          <w:tcPr>
            <w:tcW w:type="dxa" w:w="3784"/>
          </w:tcPr>
          <w:p>
            <w:pPr>
              <w:spacing w:before="20" w:after="20"/>
            </w:pPr>
            <w:r/>
            <w:r>
              <w:rPr>
                <w:rFonts w:ascii="Verdana" w:hAnsi="Verdana"/>
                <w:b w:val="0"/>
                <w:sz w:val="16"/>
              </w:rPr>
              <w:t>Velocidad del buque eliminada por otros sistemas de navegación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No se utiliza el método Doppler de establecimiento del perfil de la corriente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7-14</w:t>
            </w:r>
          </w:p>
        </w:tc>
        <w:tc>
          <w:tcPr>
            <w:tcW w:type="dxa" w:w="3784"/>
          </w:tcPr>
          <w:p>
            <w:pPr>
              <w:spacing w:before="20" w:after="20"/>
            </w:pPr>
            <w:r/>
            <w:r>
              <w:rPr>
                <w:rFonts w:ascii="Verdana" w:hAnsi="Verdana"/>
                <w:b w:val="0"/>
                <w:sz w:val="16"/>
              </w:rPr>
              <w:t>Reservadas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Valor faltante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02 041  Método de estimación utilizado en los informes relativos a la configuración sinóptica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Información basada en análisis manual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Información basada en análisis informático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Información basada en asimilación de datos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Información basada en análisis informático o asimilación de datos modificada manualmente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4-9</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Información basada en predicción numérica del tiempo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11-62</w:t>
            </w:r>
          </w:p>
        </w:tc>
        <w:tc>
          <w:tcPr>
            <w:tcW w:type="dxa" w:w="5046"/>
          </w:tcPr>
          <w:p>
            <w:pPr>
              <w:spacing w:before="20" w:after="20"/>
            </w:pPr>
            <w:r/>
            <w:r>
              <w:rPr>
                <w:rFonts w:ascii="Verdana" w:hAnsi="Verdana"/>
                <w:b w:val="0"/>
                <w:sz w:val="16"/>
              </w:rPr>
              <w:t>Reservadas para uso futuro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02 042  Indicador de la velocidad de la corriente en la superficie del mar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Valor originariamente comunicado en m/s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Valor originariamente comunicado en nudos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No hay datos disponibles sobre la corriente del mar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02 044  Indicador del método de cálculo de los datos espectrales de las olas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Reservada para uso futuro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Longuet-Higgins (1964)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Longuet-Higgins (Método F-3)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Método de probabilidad máxima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Método de entropía máxima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02 045  Indicador del tipo de plataforma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Estación marítima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Boya de adquisición automática de datos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Aeronave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Satélite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02 046  Instrumentos de medición de las olas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Reservada para uso futuro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Sensor de elevación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Sensor de pendiente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02 047  Tipo de tsunámetro para niveles profundos del océano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DART II (PMEL)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ETD DART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Boya de tsunamis SAIC (STB)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GFZ - Potsdam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INCOIS (India)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InaBuoy (Indonesia)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Envirtech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8-99</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100-126</w:t>
            </w:r>
          </w:p>
        </w:tc>
        <w:tc>
          <w:tcPr>
            <w:tcW w:type="dxa" w:w="5046"/>
          </w:tcPr>
          <w:p>
            <w:pPr>
              <w:spacing w:before="20" w:after="20"/>
            </w:pPr>
            <w:r/>
            <w:r>
              <w:rPr>
                <w:rFonts w:ascii="Verdana" w:hAnsi="Verdana"/>
                <w:b w:val="0"/>
                <w:sz w:val="16"/>
              </w:rPr>
              <w:t>No utilizadas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02 048  Indicador del sensor del satélite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HIRS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MSU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SSU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AMSU-A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AMSU-B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AVHRR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SSMI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NSCAT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SEAWINDS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POSEIDON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JASON, radiómetro de microondas (JMR)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MHS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ASCAT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OSCAT2</w:t>
            </w:r>
          </w:p>
        </w:tc>
        <w:tc>
          <w:tcPr>
            <w:tcW w:type="dxa" w:w="5046"/>
          </w:tcPr>
          <w:p>
            <w:pPr>
              <w:spacing w:before="20" w:after="20"/>
            </w:pPr>
            <w:r/>
            <w:r>
              <w:rPr>
                <w:rFonts w:ascii="Verdana" w:hAnsi="Verdana"/>
                <w:b w:val="0"/>
                <w:sz w:val="16"/>
              </w:rPr>
              <w:t>Nota 1</w:t>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t>Nota 2</w:t>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02 049  Técnica utilizada para el proceso de datos de satélites geoestacionarios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Técnica de proceso no definida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Recuperación física simultánea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Sondeo en cielo despejado</w:t>
            </w:r>
          </w:p>
        </w:tc>
        <w:tc>
          <w:tcPr>
            <w:tcW w:type="dxa" w:w="5046"/>
          </w:tcPr>
          <w:p>
            <w:pPr>
              <w:spacing w:before="20" w:after="20"/>
            </w:pPr>
            <w:r/>
            <w:r>
              <w:rPr>
                <w:rFonts w:ascii="Verdana" w:hAnsi="Verdana"/>
                <w:b w:val="0"/>
                <w:sz w:val="16"/>
              </w:rPr>
              <w:t>Note CF29: Por sondeo en cielo despejado se entiende que el sondeo ha sido generado a partir de un conjunto de valores de radiancias en cielo despejado utilizando todos los valores de radiancia de la sonda.</w:t>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Sondeo en cielo nuboso</w:t>
            </w:r>
          </w:p>
        </w:tc>
        <w:tc>
          <w:tcPr>
            <w:tcW w:type="dxa" w:w="5046"/>
          </w:tcPr>
          <w:p>
            <w:pPr>
              <w:spacing w:before="20" w:after="20"/>
            </w:pPr>
            <w:r/>
            <w:r>
              <w:rPr>
                <w:rFonts w:ascii="Verdana" w:hAnsi="Verdana"/>
                <w:b w:val="0"/>
                <w:sz w:val="16"/>
              </w:rPr>
              <w:t>Note CF31: Por sondeo en cielo nuboso se entiende que no fue posible identificar un número suficiente de valores de radiancias en cielo despejado en el área de sondeo. El sondeo se calcula a partir de la cima de las nubes (presión de las nubes mayor o igual a 780 hPa).</w:t>
            </w:r>
          </w:p>
        </w:tc>
      </w:tr>
      <w:tr>
        <w:trPr>
          <w:cantSplit/>
        </w:trPr>
        <w:tc>
          <w:tcPr>
            <w:tcW w:type="dxa" w:w="5046"/>
          </w:tcPr>
          <w:p>
            <w:pPr>
              <w:spacing w:before="20" w:after="20"/>
            </w:pPr>
            <w:r/>
            <w:r>
              <w:rPr>
                <w:rFonts w:ascii="Verdana" w:hAnsi="Verdana"/>
                <w:b w:val="0"/>
                <w:sz w:val="16"/>
              </w:rPr>
              <w:t>5-7</w:t>
            </w:r>
          </w:p>
        </w:tc>
        <w:tc>
          <w:tcPr>
            <w:tcW w:type="dxa" w:w="5046"/>
          </w:tcPr>
          <w:p>
            <w:pPr>
              <w:spacing w:before="20" w:after="20"/>
            </w:pPr>
            <w:r/>
            <w:r>
              <w:rPr>
                <w:rFonts w:ascii="Verdana" w:hAnsi="Verdana"/>
                <w:b w:val="0"/>
                <w:sz w:val="16"/>
              </w:rPr>
              <w:t>Reservadas para uso futuro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8</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02 050  Canales utilizados por un satélite geoestacionario de sondeo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CIFRA DE CLAVE</w:t>
            </w:r>
          </w:p>
        </w:tc>
        <w:tc>
          <w:tcPr>
            <w:tcW w:type="dxa" w:w="3784"/>
            <w:shd w:val="clear" w:color="auto" w:fill="D9D9D9"/>
          </w:tcPr>
          <w:p>
            <w:pPr>
              <w:spacing w:before="20" w:after="20"/>
            </w:pPr>
            <w:r/>
            <w:r>
              <w:rPr>
                <w:rFonts w:ascii="Verdana" w:hAnsi="Verdana"/>
                <w:b w:val="0"/>
                <w:sz w:val="16"/>
              </w:rPr>
              <w:t>SIGNIFICADO</w:t>
            </w:r>
          </w:p>
        </w:tc>
        <w:tc>
          <w:tcPr>
            <w:tcW w:type="dxa" w:w="3784"/>
            <w:shd w:val="clear" w:color="auto" w:fill="D9D9D9"/>
          </w:tcPr>
          <w:p>
            <w:pPr>
              <w:spacing w:before="20" w:after="20"/>
            </w:pPr>
            <w:r/>
            <w:r>
              <w:rPr>
                <w:rFonts w:ascii="Verdana" w:hAnsi="Verdana"/>
                <w:b w:val="0"/>
                <w:sz w:val="16"/>
              </w:rPr>
              <w:t>SUB 1</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14,71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14,37</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14,06</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13,64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13,37</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12,66</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12,02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11,03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9,71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w:t>
            </w:r>
          </w:p>
        </w:tc>
        <w:tc>
          <w:tcPr>
            <w:tcW w:type="dxa" w:w="3784"/>
          </w:tcPr>
          <w:p>
            <w:pPr>
              <w:spacing w:before="20" w:after="20"/>
            </w:pPr>
            <w:r/>
            <w:r>
              <w:rPr>
                <w:rFonts w:ascii="Verdana" w:hAnsi="Verdana"/>
                <w:b w:val="0"/>
                <w:sz w:val="16"/>
              </w:rPr>
              <w:t>10</w:t>
            </w:r>
          </w:p>
        </w:tc>
        <w:tc>
          <w:tcPr>
            <w:tcW w:type="dxa" w:w="3784"/>
          </w:tcPr>
          <w:p>
            <w:pPr>
              <w:spacing w:before="20" w:after="20"/>
            </w:pPr>
            <w:r/>
            <w:r>
              <w:rPr>
                <w:rFonts w:ascii="Verdana" w:hAnsi="Verdana"/>
                <w:b w:val="0"/>
                <w:sz w:val="16"/>
              </w:rPr>
              <w:t>7,43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w:t>
            </w:r>
          </w:p>
        </w:tc>
        <w:tc>
          <w:tcPr>
            <w:tcW w:type="dxa" w:w="3784"/>
          </w:tcPr>
          <w:p>
            <w:pPr>
              <w:spacing w:before="20" w:after="20"/>
            </w:pPr>
            <w:r/>
            <w:r>
              <w:rPr>
                <w:rFonts w:ascii="Verdana" w:hAnsi="Verdana"/>
                <w:b w:val="0"/>
                <w:sz w:val="16"/>
              </w:rPr>
              <w:t>11</w:t>
            </w:r>
          </w:p>
        </w:tc>
        <w:tc>
          <w:tcPr>
            <w:tcW w:type="dxa" w:w="3784"/>
          </w:tcPr>
          <w:p>
            <w:pPr>
              <w:spacing w:before="20" w:after="20"/>
            </w:pPr>
            <w:r/>
            <w:r>
              <w:rPr>
                <w:rFonts w:ascii="Verdana" w:hAnsi="Verdana"/>
                <w:b w:val="0"/>
                <w:sz w:val="16"/>
              </w:rPr>
              <w:t>7,02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w:t>
            </w:r>
          </w:p>
        </w:tc>
        <w:tc>
          <w:tcPr>
            <w:tcW w:type="dxa" w:w="3784"/>
          </w:tcPr>
          <w:p>
            <w:pPr>
              <w:spacing w:before="20" w:after="20"/>
            </w:pPr>
            <w:r/>
            <w:r>
              <w:rPr>
                <w:rFonts w:ascii="Verdana" w:hAnsi="Verdana"/>
                <w:b w:val="0"/>
                <w:sz w:val="16"/>
              </w:rPr>
              <w:t>12</w:t>
            </w:r>
          </w:p>
        </w:tc>
        <w:tc>
          <w:tcPr>
            <w:tcW w:type="dxa" w:w="3784"/>
          </w:tcPr>
          <w:p>
            <w:pPr>
              <w:spacing w:before="20" w:after="20"/>
            </w:pPr>
            <w:r/>
            <w:r>
              <w:rPr>
                <w:rFonts w:ascii="Verdana" w:hAnsi="Verdana"/>
                <w:b w:val="0"/>
                <w:sz w:val="16"/>
              </w:rPr>
              <w:t>6,51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w:t>
            </w:r>
          </w:p>
        </w:tc>
        <w:tc>
          <w:tcPr>
            <w:tcW w:type="dxa" w:w="3784"/>
          </w:tcPr>
          <w:p>
            <w:pPr>
              <w:spacing w:before="20" w:after="20"/>
            </w:pPr>
            <w:r/>
            <w:r>
              <w:rPr>
                <w:rFonts w:ascii="Verdana" w:hAnsi="Verdana"/>
                <w:b w:val="0"/>
                <w:sz w:val="16"/>
              </w:rPr>
              <w:t>13</w:t>
            </w:r>
          </w:p>
        </w:tc>
        <w:tc>
          <w:tcPr>
            <w:tcW w:type="dxa" w:w="3784"/>
          </w:tcPr>
          <w:p>
            <w:pPr>
              <w:spacing w:before="20" w:after="20"/>
            </w:pPr>
            <w:r/>
            <w:r>
              <w:rPr>
                <w:rFonts w:ascii="Verdana" w:hAnsi="Verdana"/>
                <w:b w:val="0"/>
                <w:sz w:val="16"/>
              </w:rPr>
              <w:t>4,57</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w:t>
            </w:r>
          </w:p>
        </w:tc>
        <w:tc>
          <w:tcPr>
            <w:tcW w:type="dxa" w:w="3784"/>
          </w:tcPr>
          <w:p>
            <w:pPr>
              <w:spacing w:before="20" w:after="20"/>
            </w:pPr>
            <w:r/>
            <w:r>
              <w:rPr>
                <w:rFonts w:ascii="Verdana" w:hAnsi="Verdana"/>
                <w:b w:val="0"/>
                <w:sz w:val="16"/>
              </w:rPr>
              <w:t>14</w:t>
            </w:r>
          </w:p>
        </w:tc>
        <w:tc>
          <w:tcPr>
            <w:tcW w:type="dxa" w:w="3784"/>
          </w:tcPr>
          <w:p>
            <w:pPr>
              <w:spacing w:before="20" w:after="20"/>
            </w:pPr>
            <w:r/>
            <w:r>
              <w:rPr>
                <w:rFonts w:ascii="Verdana" w:hAnsi="Verdana"/>
                <w:b w:val="0"/>
                <w:sz w:val="16"/>
              </w:rPr>
              <w:t>4,52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4,45</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w:t>
            </w:r>
          </w:p>
        </w:tc>
        <w:tc>
          <w:tcPr>
            <w:tcW w:type="dxa" w:w="3784"/>
          </w:tcPr>
          <w:p>
            <w:pPr>
              <w:spacing w:before="20" w:after="20"/>
            </w:pPr>
            <w:r/>
            <w:r>
              <w:rPr>
                <w:rFonts w:ascii="Verdana" w:hAnsi="Verdana"/>
                <w:b w:val="0"/>
                <w:sz w:val="16"/>
              </w:rPr>
              <w:t>16</w:t>
            </w:r>
          </w:p>
        </w:tc>
        <w:tc>
          <w:tcPr>
            <w:tcW w:type="dxa" w:w="3784"/>
          </w:tcPr>
          <w:p>
            <w:pPr>
              <w:spacing w:before="20" w:after="20"/>
            </w:pPr>
            <w:r/>
            <w:r>
              <w:rPr>
                <w:rFonts w:ascii="Verdana" w:hAnsi="Verdana"/>
                <w:b w:val="0"/>
                <w:sz w:val="16"/>
              </w:rPr>
              <w:t>4,13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w:t>
            </w:r>
          </w:p>
        </w:tc>
        <w:tc>
          <w:tcPr>
            <w:tcW w:type="dxa" w:w="3784"/>
          </w:tcPr>
          <w:p>
            <w:pPr>
              <w:spacing w:before="20" w:after="20"/>
            </w:pPr>
            <w:r/>
            <w:r>
              <w:rPr>
                <w:rFonts w:ascii="Verdana" w:hAnsi="Verdana"/>
                <w:b w:val="0"/>
                <w:sz w:val="16"/>
              </w:rPr>
              <w:t>17</w:t>
            </w:r>
          </w:p>
        </w:tc>
        <w:tc>
          <w:tcPr>
            <w:tcW w:type="dxa" w:w="3784"/>
          </w:tcPr>
          <w:p>
            <w:pPr>
              <w:spacing w:before="20" w:after="20"/>
            </w:pPr>
            <w:r/>
            <w:r>
              <w:rPr>
                <w:rFonts w:ascii="Verdana" w:hAnsi="Verdana"/>
                <w:b w:val="0"/>
                <w:sz w:val="16"/>
              </w:rPr>
              <w:t>3,98</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w:t>
            </w:r>
          </w:p>
        </w:tc>
        <w:tc>
          <w:tcPr>
            <w:tcW w:type="dxa" w:w="3784"/>
          </w:tcPr>
          <w:p>
            <w:pPr>
              <w:spacing w:before="20" w:after="20"/>
            </w:pPr>
            <w:r/>
            <w:r>
              <w:rPr>
                <w:rFonts w:ascii="Verdana" w:hAnsi="Verdana"/>
                <w:b w:val="0"/>
                <w:sz w:val="16"/>
              </w:rPr>
              <w:t>18</w:t>
            </w:r>
          </w:p>
        </w:tc>
        <w:tc>
          <w:tcPr>
            <w:tcW w:type="dxa" w:w="3784"/>
          </w:tcPr>
          <w:p>
            <w:pPr>
              <w:spacing w:before="20" w:after="20"/>
            </w:pPr>
            <w:r/>
            <w:r>
              <w:rPr>
                <w:rFonts w:ascii="Verdana" w:hAnsi="Verdana"/>
                <w:b w:val="0"/>
                <w:sz w:val="16"/>
              </w:rPr>
              <w:t>3,74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w:t>
            </w:r>
          </w:p>
        </w:tc>
        <w:tc>
          <w:tcPr>
            <w:tcW w:type="dxa" w:w="3784"/>
          </w:tcPr>
          <w:p>
            <w:pPr>
              <w:spacing w:before="20" w:after="20"/>
            </w:pPr>
            <w:r/>
            <w:r>
              <w:rPr>
                <w:rFonts w:ascii="Verdana" w:hAnsi="Verdana"/>
                <w:b w:val="0"/>
                <w:sz w:val="16"/>
              </w:rPr>
              <w:t>19</w:t>
            </w:r>
          </w:p>
        </w:tc>
        <w:tc>
          <w:tcPr>
            <w:tcW w:type="dxa" w:w="3784"/>
          </w:tcPr>
          <w:p>
            <w:pPr>
              <w:spacing w:before="20" w:after="20"/>
            </w:pPr>
            <w:r/>
            <w:r>
              <w:rPr>
                <w:rFonts w:ascii="Verdana" w:hAnsi="Verdana"/>
                <w:b w:val="0"/>
                <w:sz w:val="16"/>
              </w:rPr>
              <w:t>0,969</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Los 20</w:t>
            </w:r>
          </w:p>
        </w:tc>
        <w:tc>
          <w:tcPr>
            <w:tcW w:type="dxa" w:w="3784"/>
          </w:tcPr>
          <w:p>
            <w:pPr>
              <w:spacing w:before="20" w:after="20"/>
            </w:pPr>
            <w:r/>
            <w:r>
              <w:rPr>
                <w:rFonts w:ascii="Verdana" w:hAnsi="Verdana"/>
                <w:b w:val="0"/>
                <w:sz w:val="16"/>
              </w:rPr>
              <w:t>Valor faltante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r>
        <w:rPr>
          <w:rFonts w:ascii="Verdana" w:hAnsi="Verdana"/>
          <w:i/>
          <w:sz w:val="14"/>
        </w:rPr>
        <w:t>Note CF21: Comenzando por la posición del primer bit (bit más significativo), si el bit se fija en uno, entonces el canal es utilizado. Si el bit se fija en cero, entonces el canal no es utilizado.</w:t>
      </w:r>
    </w:p>
    <w:p/>
    <w:p>
      <w:r>
        <w:rPr>
          <w:rFonts w:ascii="Verdana" w:hAnsi="Verdana"/>
          <w:b/>
          <w:sz w:val="18"/>
        </w:rPr>
        <w:t>0 02 051  Indicador que determina el método de observación de las temperaturas extremas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Termómetros a la máxima y a la mínima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Instrumentos automáticos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Termógrafos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02 052  Canales utilizados por un satélite geoestacionario productor de imágenes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CIFRA DE CLAVE</w:t>
            </w:r>
          </w:p>
        </w:tc>
        <w:tc>
          <w:tcPr>
            <w:tcW w:type="dxa" w:w="3784"/>
            <w:shd w:val="clear" w:color="auto" w:fill="D9D9D9"/>
          </w:tcPr>
          <w:p>
            <w:pPr>
              <w:spacing w:before="20" w:after="20"/>
            </w:pPr>
            <w:r/>
            <w:r>
              <w:rPr>
                <w:rFonts w:ascii="Verdana" w:hAnsi="Verdana"/>
                <w:b w:val="0"/>
                <w:sz w:val="16"/>
              </w:rPr>
              <w:t>SIGNIFICADO</w:t>
            </w:r>
          </w:p>
        </w:tc>
        <w:tc>
          <w:tcPr>
            <w:tcW w:type="dxa" w:w="3784"/>
            <w:shd w:val="clear" w:color="auto" w:fill="D9D9D9"/>
          </w:tcPr>
          <w:p>
            <w:pPr>
              <w:spacing w:before="20" w:after="20"/>
            </w:pPr>
            <w:r/>
            <w:r>
              <w:rPr>
                <w:rFonts w:ascii="Verdana" w:hAnsi="Verdana"/>
                <w:b w:val="0"/>
                <w:sz w:val="16"/>
              </w:rPr>
              <w:t>SUB 1</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0,55 - 0,75</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3,9</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6,7</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10,7</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12,0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Los 6</w:t>
            </w:r>
          </w:p>
        </w:tc>
        <w:tc>
          <w:tcPr>
            <w:tcW w:type="dxa" w:w="3784"/>
          </w:tcPr>
          <w:p>
            <w:pPr>
              <w:spacing w:before="20" w:after="20"/>
            </w:pPr>
            <w:r/>
            <w:r>
              <w:rPr>
                <w:rFonts w:ascii="Verdana" w:hAnsi="Verdana"/>
                <w:b w:val="0"/>
                <w:sz w:val="16"/>
              </w:rPr>
              <w:t>Valor faltante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r>
        <w:rPr>
          <w:rFonts w:ascii="Verdana" w:hAnsi="Verdana"/>
          <w:i/>
          <w:sz w:val="14"/>
        </w:rPr>
        <w:t>Note CF21: Comenzando por la posición del primer bit (bit más significativo), si el bit se fija en uno, entonces el canal es utilizado. Si el bit se fija en cero, entonces el canal no es utilizado.</w:t>
      </w:r>
    </w:p>
    <w:p/>
    <w:p>
      <w:r>
        <w:rPr>
          <w:rFonts w:ascii="Verdana" w:hAnsi="Verdana"/>
          <w:b/>
          <w:sz w:val="18"/>
        </w:rPr>
        <w:t>0 02 053  Características de la temperatura de luminancia obtenida mediante un satélite GOES-I/M</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Temperatura de luminancia observada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Temperatura de luminancia con aplicación de corrección del error sistemático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Temperatura de luminancia calculada a partir de una primera aproximación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Temperatura de luminancia calculada a partir de sondeos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02 054  Características de los parámetros de sondeo efectuados por un satélite GOES-I/M</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Parámetro obtenido a partir de la temperatura de luminancia observada por la sonda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Parámetro obtenido a partir de la temperatura de luminancia observada por el productor de imágenes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Parámetro obtenido a partir de información de primera aproximación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Parámetro obtenido a partir de información de análisis de un CMN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Parámetro obtenido a partir de información de radiosonda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02 055  Parámetros estadísticos de los sondeos de satélites geoestacionarios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Estadísticas generadas comparando los datos de la recuperación con los de la radiosonda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Estadísticas generadas comparando los datos de la recuperación con los de la primera aproximación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Estadísticas generadas comparando los datos de la radiosonda con los de la primera aproximación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Estadísticas generadas comparando los datos de las observaciones con los de la recuperación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Estadísticas generadas comparando los datos de las observaciones con los de la primera aproximación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Estadísticas generadas comparando los datos de la radiosonda con los del productor de imágenes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Estadísticas generadas comparando los datos de la radiosonda con los del sondeador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Estadísticas generadas por radiosonda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Estadísticas generadas por primera aproximación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02 056  Estadísticas de la precisión de los sondeos de satélites geoestacionarios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Sumas de las diferencias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Sumas de los cuadrados de las diferencias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Tamaño de la muestra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Diferencia mínima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Diferencia máxima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02 057  Origen de la información de primera aproximación para sondeos de satélites GOES-I/M</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Modelo de Retícula Encajada (NGM)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Modelo de Aviación (AVN)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Modelo de Pronóstico de Medio Plazo (MRF)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Modelo de Pronóstico del Sistema Mundial de Asimilación de Datos (GDAS)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Sondeos anteriores (dentro de un lapso no mayor a 3 horas hasta la hora actual)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Climatología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02 058  Tiempo de validez de la información de primera aproximación para sondeos de satélites GOES-I/M</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12 horas y 18 horas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18 horas y 24 horas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6 horas y 12 horas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Mayor a 24 horas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02 059  Origen de la información de análisis para sondeos de satélites GOES-I/M</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Análisis del Modelo de Retícula Encajada (NGM) NCEP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Análisis del Modelo de Aviación (AVN) NCEP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Análisis del Modelo de Pronóstico de Medio Plazo (MRF) NCEP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Análisis del Modelo de Pronóstico del Sistema Mundial de Asimilación de Datos (GDAS) NCEP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02 060  Origen de la información de superficie para sondeos de satélites GOES-I/M</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Informes horarios de superficie a la hora actual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Informes de buques a la hora actual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Informes de boyas a la hora actual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Informes horarios de superficie de la hora anterior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Informes de buques de la hora anterior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Informes de boyas de la hora anterior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02 061  Sistema de navegación de aeronaves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Sistema inercial de navegación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OMEGA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02 062  Tipo de sistema de retransmisión de datos procedentes de aeronaves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ASDAR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ASDAR (ACARS también pero no funciona)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ASDAR (ACARS también y funciona)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ACARS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ACARS (ASDAR también pero no funciona)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ACARS (ASDAR también y funciona)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02 064  Calidad del ángulo de balanceo de la aeronave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Buena</w:t>
            </w:r>
          </w:p>
        </w:tc>
        <w:tc>
          <w:tcPr>
            <w:tcW w:type="dxa" w:w="5046"/>
          </w:tcPr>
          <w:p>
            <w:pPr>
              <w:spacing w:before="20" w:after="20"/>
            </w:pPr>
            <w:r/>
            <w:r>
              <w:rPr>
                <w:rFonts w:ascii="Verdana" w:hAnsi="Verdana"/>
                <w:b w:val="0"/>
                <w:sz w:val="16"/>
              </w:rPr>
              <w:t>Nota: La calidad mala se define actualmente como un ángulo de balanceo superior a 5 grados con relación a la vertical.</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Mala</w:t>
            </w:r>
          </w:p>
        </w:tc>
        <w:tc>
          <w:tcPr>
            <w:tcW w:type="dxa" w:w="5046"/>
          </w:tcPr>
          <w:p>
            <w:pPr>
              <w:spacing w:before="20" w:after="20"/>
            </w:pPr>
            <w:r/>
            <w:r>
              <w:rPr>
                <w:rFonts w:ascii="Verdana" w:hAnsi="Verdana"/>
                <w:b w:val="0"/>
                <w:sz w:val="16"/>
              </w:rPr>
              <w:t>Note CF20: La calidad mala se define actualmente como un ángulo de balanceo superior a 5 grados con relación a la vertical.</w:t>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02 066  Sistema de recepción en tierra de la radiosonda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InterMet IMS 2000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InterMet IMS 1500C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Shanghai GTC1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Nanjing GTC2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Nanjing GFE(L)1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Radar MARL-A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Radar VEKTOR-M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7-61</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w:t>
            </w:r>
          </w:p>
        </w:tc>
        <w:tc>
          <w:tcPr>
            <w:tcW w:type="dxa" w:w="5046"/>
          </w:tcPr>
          <w:p>
            <w:pPr>
              <w:spacing w:before="20" w:after="20"/>
            </w:pPr>
            <w:r/>
            <w:r>
              <w:rPr>
                <w:rFonts w:ascii="Verdana" w:hAnsi="Verdana"/>
                <w:b w:val="0"/>
                <w:sz w:val="16"/>
              </w:rPr>
              <w:t>Otros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02 070  Especificación original de latitud/longitud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Localización real en segundos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Localización real en minutos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Localización real en grados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Localización real en decigrados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Localización real en centigrados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Relativa al punto de control en segundos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Relativa al punto de control en minutos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Relativa al punto de control en grados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Relativa al punto de control en decigrados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Relativa al punto de control en centigrados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Localización real en décimas de minuto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Relativa al punto de control en décimas de minuto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02 080  Fabricante del globo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Kaysam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Totex</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KKS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uangzhou Shuangyi (China)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ChemChina Zhuzhou (China)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5-61</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w:t>
            </w:r>
          </w:p>
        </w:tc>
        <w:tc>
          <w:tcPr>
            <w:tcW w:type="dxa" w:w="5046"/>
          </w:tcPr>
          <w:p>
            <w:pPr>
              <w:spacing w:before="20" w:after="20"/>
            </w:pPr>
            <w:r/>
            <w:r>
              <w:rPr>
                <w:rFonts w:ascii="Verdana" w:hAnsi="Verdana"/>
                <w:b w:val="0"/>
                <w:sz w:val="16"/>
              </w:rPr>
              <w:t>Otros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02 081  Tipo de globo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GP26</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GP28</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GP30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HM26</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HM28</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HM30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SV16</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Globos de tipo Totex 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Globos de tipo Totex TX</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9-29</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Otros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02 083  Tipo de refugio para globos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Sección alta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Sección baja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ILS (sistema de lanzamiento/inflado de globos)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BILS de azotea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Sistema de sondeo automático sin dotación de personal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5-13</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Otros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02 084  Tipo de gas utilizado en el globo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Hidrógeno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Helio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Gas natural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3-13</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Otros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02 092  Método de cálculo del perfil de ozono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Recuperación basada en el canal UV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Recuperación basada en el canal visible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Recuperación combinada basada en el canal UV y el canal visible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02 095  Tipo de sensor de presión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Aneroide de capacitancia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Derivado de GPS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Medidor de presión de resistencia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Capacitor de silicio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Derivado de la altura del radar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5-29</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Otros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02 096  Tipo de sensor de temperatura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Termistor de varilla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Termistor de bolas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Cuenta de capacitancia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Cable capacitivo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Sensor resistivo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Termistor de chip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Mercurio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Alcohol/glicol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8-30</w:t>
            </w:r>
          </w:p>
        </w:tc>
        <w:tc>
          <w:tcPr>
            <w:tcW w:type="dxa" w:w="5046"/>
          </w:tcPr>
          <w:p>
            <w:pPr>
              <w:spacing w:before="20" w:after="20"/>
            </w:pPr>
            <w:r/>
            <w:r>
              <w:rPr>
                <w:rFonts w:ascii="Verdana" w:hAnsi="Verdana"/>
                <w:b w:val="0"/>
                <w:sz w:val="16"/>
              </w:rPr>
              <w:t>Reservadas para uso futuro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02 097  Tipo de sensor de humedad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Higristor de carbono VIZ Mark II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Higristor VIZ B2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Vaisala A-Humicap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Vaisala H-Humicap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Sensor de capacitancia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Vaisala RS90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Higristor de carbono Sippican Mark IIA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Doble sensor capacitivo Humicap de humedad con calentamiento alternativo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Sensor capacitivo Humicap con método de deshielo activo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Higristor de carbono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Psicrómetro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Capacitivo (polímero)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Capacitivo (cerámica, incluido el óxido metálico)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Resistivo (genérico)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Resistivo (polímero salino)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Resistivo (polímero conductivo)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Conductividad térmica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Gravimétrico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Papel-bobina metálica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Cabello humano ordinario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Cabello enrollado (torsión)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Membrana orgánica de tripa de vacuno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Higrómetro de espejo enfriado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Célula de punto de rocío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Sensor de absorción óptica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25-30</w:t>
            </w:r>
          </w:p>
        </w:tc>
        <w:tc>
          <w:tcPr>
            <w:tcW w:type="dxa" w:w="5046"/>
          </w:tcPr>
          <w:p>
            <w:pPr>
              <w:spacing w:before="20" w:after="20"/>
            </w:pPr>
            <w:r/>
            <w:r>
              <w:rPr>
                <w:rFonts w:ascii="Verdana" w:hAnsi="Verdana"/>
                <w:b w:val="0"/>
                <w:sz w:val="16"/>
              </w:rPr>
              <w:t>Reservadas para uso futuro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02 099  Polarización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Polarización HH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Polarización VV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Componente de valor real de polarización HV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Componente de valor imaginario de polarización HV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02 101  Tipo de antenna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Paraboloide de alimentación frontal centrada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Paraboloide de alimentación central excéntrica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Paraboloide Cassegrain centrada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Paraboloide Cassegrain excéntrica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Red de elementos radiantes en un plano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Red coaxial-colineal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Red de elementos Yagi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Microlínea de cinta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8-13</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Otros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02 103  Radomo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La antena de radar está protegida por un radomo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2</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02 104  Polarización de la antenna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Polarización horizontal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Polarización vertical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Polarización circular derecha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Polarización circular izquierda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Polarización horizontal y vertical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Polarización circular derecha e izquierda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Polarización cuasihorizontal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Polarización cuasivertical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02 115  Tipo de equipo de observación en superficie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PDB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RSOIS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Psicrómetro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F420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5-29</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Otros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02 119  Operaciones de instrumento RA-2</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Modo de calibración de frecuencia intermedia (IF 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Equipo de prueba integrado digital (BITE DGT)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Equipo de prueba integrado en radiofrecuencia (BITE RF)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Seguimiento prefijado (PSET TRK)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Bucle de salida prefijado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Adquisición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Seguimiento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02 131  Control de sensibilidad en función del tiempo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Control operativo de sensibilidad en función del tiempo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2</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02 137  Relación de frecuencia de repetición de impulsos dual de radar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0.126388889</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0.16875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0.211111111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02 138  Dirección de rotación de la antenna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Rotación dextrorsa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Rotación sinistrorsa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02 139  Configuración del instrumento SIRAL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IRAL nominal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SIRAL redundante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02 143  Tipo de instrumento de medición del ozono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Espectrofotómetro de Brewer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Caver Teichert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Dobson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Dobson (Japón)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Ehmet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Telescopio Fecker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Hoelper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Jodmetro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Ozonómetro filtro M-83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Mast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Oxford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Paetzold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Regener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Reservada para uso futuro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Ozonómetro con filtro de Vassy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Yoduro de carbono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Medidor de burbujas de ozono en la superficie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Ozonómetro con filtro M-124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Sonda electroquímica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20-126</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02 144  Tipo de fuente luminosa para el espectrofotómetro de Brewer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Exposición directa al sol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Exposición directa al sol, atenuador #1</w:t>
            </w:r>
          </w:p>
        </w:tc>
        <w:tc>
          <w:tcPr>
            <w:tcW w:type="dxa" w:w="5046"/>
          </w:tcPr>
          <w:p>
            <w:pPr>
              <w:spacing w:before="20" w:after="20"/>
            </w:pPr>
            <w:r/>
            <w:r>
              <w:rPr>
                <w:rFonts w:ascii="Verdana" w:hAnsi="Verdana"/>
                <w:b w:val="0"/>
                <w:sz w:val="16"/>
              </w:rPr>
              <w:t>Note CF38: Los apartados 1 y 2 no deberían utilizarse.</w:t>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Exposición directa al sol, atenuador #2</w:t>
            </w:r>
          </w:p>
        </w:tc>
        <w:tc>
          <w:tcPr>
            <w:tcW w:type="dxa" w:w="5046"/>
          </w:tcPr>
          <w:p>
            <w:pPr>
              <w:spacing w:before="20" w:after="20"/>
            </w:pPr>
            <w:r/>
            <w:r>
              <w:rPr>
                <w:rFonts w:ascii="Verdana" w:hAnsi="Verdana"/>
                <w:b w:val="0"/>
                <w:sz w:val="16"/>
              </w:rPr>
              <w:t>Note CF38: Los apartados 1 y 2 no deberían utilizarse.</w:t>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Centrada en la luna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Centrada en el sol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Centrada en el sol con correcciones provenientes de la medición del cielo adyacente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Radiación del cielo en el cenit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02 145  Ajuste de la longitud de onda para los instrumentos Dobson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Longitudes de onda AD, ajuste normal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Longitudes de onda BD, ajuste normal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Longitudes de onda CD, ajuste normal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Longitudes de onda CC', ajuste normal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Longitudes de onda AD, imagen enfocada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Longitudes de onda BD, imagen enfocada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Longitudes de onda CD, imagen enfocada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Longitudes de onda CC', imagen enfocada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02 146  Condiciones de la fuente para los instrumentos Dobson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Exposición directa al sol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Exposición directa a la luna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Cielo despejado en el cenit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Cielo cubierto en el cenit (capa estratificada uniformemente de poca opacidad)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Cielo cubierto en el cenit (capa uniforme o moderadamente variable de opacidad media)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Cielo cubierto en el cenit (capa uniforme o moderadamente variable de gran opacidad)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Cielo cubierto en el cenit (opacidad altamente variable, con precipitación o sin ella)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Cielo cubierto en el cenit (niebla)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Bruma en el cenit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Exposición directa al sol a través de una capa delgada de nubes, niebla o bruma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02 147  Método de transmisión al centro de recopilación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Circuito arrendado directo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Conexión de marcación telefónica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Proveedor de servicios de Internet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PRD vía satélite (MTSAT, METEOSAT, etc.)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VSAT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GAN, BGAN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Terminal Thiss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Satélites Iridium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Telefonía móvil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10-62</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02 148  Sistema de recopilación de datos y/o ubicación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Argos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GPS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PRD de GOES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PRD de METEOSAT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ORB COMM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INMARSAT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Iridium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Iridium y GPS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Argos-3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Argos-4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11-30</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02 149  Tipo de boya de datos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Boya a la deriva no especificada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Derivador lagrangiano normalizado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Boya a la deriva normalizada de tipo FGGE (boya meteorológica a la deriva no lagrangiana)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Boya a la deriva de tipo FGGE para la medición del viento (boya meteorológica a la deriva no lagrangiana)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Derivador de hielo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Derivador lagrangiano normalizado SVP-G dotado de GPS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Derivador SVP-HR con resistencia para la medición de la temperatura de alta resolución o cadena de termistor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Objeto flotante no especificado bajo la superficie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SOFAR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ALACE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MARVOR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RAFOS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PROVOR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SOLO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APEX</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Boya fondeada no especificada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Nomad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Disco de 3 metros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Disco de 10-12 metros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Serie ODAS 30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ATLAS (por ejemplo, zona TAO)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Boya TRITON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Fondeo FLEX (p. ej., la zona del Equipo de Ejecución de la Red de Boyas Fijas en Mares Tropicales, TIP)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Boya flotante omnidireccional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Boya flotante direccional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Flotador ARGO subsuperficial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w:t>
            </w:r>
          </w:p>
        </w:tc>
        <w:tc>
          <w:tcPr>
            <w:tcW w:type="dxa" w:w="5046"/>
          </w:tcPr>
          <w:p>
            <w:pPr>
              <w:spacing w:before="20" w:after="20"/>
            </w:pPr>
            <w:r/>
            <w:r>
              <w:rPr>
                <w:rFonts w:ascii="Verdana" w:hAnsi="Verdana"/>
                <w:b w:val="0"/>
                <w:sz w:val="16"/>
              </w:rPr>
              <w:t>PALACE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28</w:t>
            </w:r>
          </w:p>
        </w:tc>
        <w:tc>
          <w:tcPr>
            <w:tcW w:type="dxa" w:w="5046"/>
          </w:tcPr>
          <w:p>
            <w:pPr>
              <w:spacing w:before="20" w:after="20"/>
            </w:pPr>
            <w:r/>
            <w:r>
              <w:rPr>
                <w:rFonts w:ascii="Verdana" w:hAnsi="Verdana"/>
                <w:b w:val="0"/>
                <w:sz w:val="16"/>
              </w:rPr>
              <w:t>NEMO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29</w:t>
            </w:r>
          </w:p>
        </w:tc>
        <w:tc>
          <w:tcPr>
            <w:tcW w:type="dxa" w:w="5046"/>
          </w:tcPr>
          <w:p>
            <w:pPr>
              <w:spacing w:before="20" w:after="20"/>
            </w:pPr>
            <w:r/>
            <w:r>
              <w:rPr>
                <w:rFonts w:ascii="Verdana" w:hAnsi="Verdana"/>
                <w:b w:val="0"/>
                <w:sz w:val="16"/>
              </w:rPr>
              <w:t>NINJA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Boya/flotador sobre hielo (POPS o ITP)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31-33</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34</w:t>
            </w:r>
          </w:p>
        </w:tc>
        <w:tc>
          <w:tcPr>
            <w:tcW w:type="dxa" w:w="5046"/>
          </w:tcPr>
          <w:p>
            <w:pPr>
              <w:spacing w:before="20" w:after="20"/>
            </w:pPr>
            <w:r/>
            <w:r>
              <w:rPr>
                <w:rFonts w:ascii="Verdana" w:hAnsi="Verdana"/>
                <w:b w:val="0"/>
                <w:sz w:val="16"/>
              </w:rPr>
              <w:t>Boya fondeada oceanográfica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w:t>
            </w:r>
          </w:p>
        </w:tc>
        <w:tc>
          <w:tcPr>
            <w:tcW w:type="dxa" w:w="5046"/>
          </w:tcPr>
          <w:p>
            <w:pPr>
              <w:spacing w:before="20" w:after="20"/>
            </w:pPr>
            <w:r/>
            <w:r>
              <w:rPr>
                <w:rFonts w:ascii="Verdana" w:hAnsi="Verdana"/>
                <w:b w:val="0"/>
                <w:sz w:val="16"/>
              </w:rPr>
              <w:t>Boya fondeada meteorológica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Boya fondeada multidisciplinaria (OceanSITES)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37</w:t>
            </w:r>
          </w:p>
        </w:tc>
        <w:tc>
          <w:tcPr>
            <w:tcW w:type="dxa" w:w="5046"/>
          </w:tcPr>
          <w:p>
            <w:pPr>
              <w:spacing w:before="20" w:after="20"/>
            </w:pPr>
            <w:r/>
            <w:r>
              <w:rPr>
                <w:rFonts w:ascii="Verdana" w:hAnsi="Verdana"/>
                <w:b w:val="0"/>
                <w:sz w:val="16"/>
              </w:rPr>
              <w:t>Boya fondeada: mareógrafo o boya de tsunamis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38</w:t>
            </w:r>
          </w:p>
        </w:tc>
        <w:tc>
          <w:tcPr>
            <w:tcW w:type="dxa" w:w="5046"/>
          </w:tcPr>
          <w:p>
            <w:pPr>
              <w:spacing w:before="20" w:after="20"/>
            </w:pPr>
            <w:r/>
            <w:r>
              <w:rPr>
                <w:rFonts w:ascii="Verdana" w:hAnsi="Verdana"/>
                <w:b w:val="0"/>
                <w:sz w:val="16"/>
              </w:rPr>
              <w:t>Baliza de hielo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39</w:t>
            </w:r>
          </w:p>
        </w:tc>
        <w:tc>
          <w:tcPr>
            <w:tcW w:type="dxa" w:w="5046"/>
          </w:tcPr>
          <w:p>
            <w:pPr>
              <w:spacing w:before="20" w:after="20"/>
            </w:pPr>
            <w:r/>
            <w:r>
              <w:rPr>
                <w:rFonts w:ascii="Verdana" w:hAnsi="Verdana"/>
                <w:b w:val="0"/>
                <w:sz w:val="16"/>
              </w:rPr>
              <w:t>Boya de seguimiento del balance de masa de hielo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40-62</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02 150  Número de canal de los instrumentos TOVS/ATOVS/AVHRR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HIRS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HIRS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HIRS 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HIRS 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HIRS 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HIRS 6</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HIRS 7</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HIRS 8</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HIRS 9</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HIRS 10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HIRS 11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HIRS 12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HIRS 13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HIRS 14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HIRS 15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HIRS 16</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HIRS 17</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HIRS 18</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HIRS 19</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HIRS 20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MSU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MSU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MSU 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MSU 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SSU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SSU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w:t>
            </w:r>
          </w:p>
        </w:tc>
        <w:tc>
          <w:tcPr>
            <w:tcW w:type="dxa" w:w="5046"/>
          </w:tcPr>
          <w:p>
            <w:pPr>
              <w:spacing w:before="20" w:after="20"/>
            </w:pPr>
            <w:r/>
            <w:r>
              <w:rPr>
                <w:rFonts w:ascii="Verdana" w:hAnsi="Verdana"/>
                <w:b w:val="0"/>
                <w:sz w:val="16"/>
              </w:rPr>
              <w:t>SSU 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28</w:t>
            </w:r>
          </w:p>
        </w:tc>
        <w:tc>
          <w:tcPr>
            <w:tcW w:type="dxa" w:w="5046"/>
          </w:tcPr>
          <w:p>
            <w:pPr>
              <w:spacing w:before="20" w:after="20"/>
            </w:pPr>
            <w:r/>
            <w:r>
              <w:rPr>
                <w:rFonts w:ascii="Verdana" w:hAnsi="Verdana"/>
                <w:b w:val="0"/>
                <w:sz w:val="16"/>
              </w:rPr>
              <w:t>AMSU-A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29</w:t>
            </w:r>
          </w:p>
        </w:tc>
        <w:tc>
          <w:tcPr>
            <w:tcW w:type="dxa" w:w="5046"/>
          </w:tcPr>
          <w:p>
            <w:pPr>
              <w:spacing w:before="20" w:after="20"/>
            </w:pPr>
            <w:r/>
            <w:r>
              <w:rPr>
                <w:rFonts w:ascii="Verdana" w:hAnsi="Verdana"/>
                <w:b w:val="0"/>
                <w:sz w:val="16"/>
              </w:rPr>
              <w:t>AMSU-A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AMSU-A 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AMSU-A 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32</w:t>
            </w:r>
          </w:p>
        </w:tc>
        <w:tc>
          <w:tcPr>
            <w:tcW w:type="dxa" w:w="5046"/>
          </w:tcPr>
          <w:p>
            <w:pPr>
              <w:spacing w:before="20" w:after="20"/>
            </w:pPr>
            <w:r/>
            <w:r>
              <w:rPr>
                <w:rFonts w:ascii="Verdana" w:hAnsi="Verdana"/>
                <w:b w:val="0"/>
                <w:sz w:val="16"/>
              </w:rPr>
              <w:t>AMSU-A 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w:t>
            </w:r>
          </w:p>
        </w:tc>
        <w:tc>
          <w:tcPr>
            <w:tcW w:type="dxa" w:w="5046"/>
          </w:tcPr>
          <w:p>
            <w:pPr>
              <w:spacing w:before="20" w:after="20"/>
            </w:pPr>
            <w:r/>
            <w:r>
              <w:rPr>
                <w:rFonts w:ascii="Verdana" w:hAnsi="Verdana"/>
                <w:b w:val="0"/>
                <w:sz w:val="16"/>
              </w:rPr>
              <w:t>AMSU-A 6</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34</w:t>
            </w:r>
          </w:p>
        </w:tc>
        <w:tc>
          <w:tcPr>
            <w:tcW w:type="dxa" w:w="5046"/>
          </w:tcPr>
          <w:p>
            <w:pPr>
              <w:spacing w:before="20" w:after="20"/>
            </w:pPr>
            <w:r/>
            <w:r>
              <w:rPr>
                <w:rFonts w:ascii="Verdana" w:hAnsi="Verdana"/>
                <w:b w:val="0"/>
                <w:sz w:val="16"/>
              </w:rPr>
              <w:t>AMSU-A 7</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w:t>
            </w:r>
          </w:p>
        </w:tc>
        <w:tc>
          <w:tcPr>
            <w:tcW w:type="dxa" w:w="5046"/>
          </w:tcPr>
          <w:p>
            <w:pPr>
              <w:spacing w:before="20" w:after="20"/>
            </w:pPr>
            <w:r/>
            <w:r>
              <w:rPr>
                <w:rFonts w:ascii="Verdana" w:hAnsi="Verdana"/>
                <w:b w:val="0"/>
                <w:sz w:val="16"/>
              </w:rPr>
              <w:t>AMSU-A 8</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AMSU-A 9</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37</w:t>
            </w:r>
          </w:p>
        </w:tc>
        <w:tc>
          <w:tcPr>
            <w:tcW w:type="dxa" w:w="5046"/>
          </w:tcPr>
          <w:p>
            <w:pPr>
              <w:spacing w:before="20" w:after="20"/>
            </w:pPr>
            <w:r/>
            <w:r>
              <w:rPr>
                <w:rFonts w:ascii="Verdana" w:hAnsi="Verdana"/>
                <w:b w:val="0"/>
                <w:sz w:val="16"/>
              </w:rPr>
              <w:t>AMSU-A 10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38</w:t>
            </w:r>
          </w:p>
        </w:tc>
        <w:tc>
          <w:tcPr>
            <w:tcW w:type="dxa" w:w="5046"/>
          </w:tcPr>
          <w:p>
            <w:pPr>
              <w:spacing w:before="20" w:after="20"/>
            </w:pPr>
            <w:r/>
            <w:r>
              <w:rPr>
                <w:rFonts w:ascii="Verdana" w:hAnsi="Verdana"/>
                <w:b w:val="0"/>
                <w:sz w:val="16"/>
              </w:rPr>
              <w:t>AMSU-A 11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39</w:t>
            </w:r>
          </w:p>
        </w:tc>
        <w:tc>
          <w:tcPr>
            <w:tcW w:type="dxa" w:w="5046"/>
          </w:tcPr>
          <w:p>
            <w:pPr>
              <w:spacing w:before="20" w:after="20"/>
            </w:pPr>
            <w:r/>
            <w:r>
              <w:rPr>
                <w:rFonts w:ascii="Verdana" w:hAnsi="Verdana"/>
                <w:b w:val="0"/>
                <w:sz w:val="16"/>
              </w:rPr>
              <w:t>AMSU-A 12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w:t>
            </w:r>
          </w:p>
        </w:tc>
        <w:tc>
          <w:tcPr>
            <w:tcW w:type="dxa" w:w="5046"/>
          </w:tcPr>
          <w:p>
            <w:pPr>
              <w:spacing w:before="20" w:after="20"/>
            </w:pPr>
            <w:r/>
            <w:r>
              <w:rPr>
                <w:rFonts w:ascii="Verdana" w:hAnsi="Verdana"/>
                <w:b w:val="0"/>
                <w:sz w:val="16"/>
              </w:rPr>
              <w:t>AMSU-A 13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w:t>
            </w:r>
          </w:p>
        </w:tc>
        <w:tc>
          <w:tcPr>
            <w:tcW w:type="dxa" w:w="5046"/>
          </w:tcPr>
          <w:p>
            <w:pPr>
              <w:spacing w:before="20" w:after="20"/>
            </w:pPr>
            <w:r/>
            <w:r>
              <w:rPr>
                <w:rFonts w:ascii="Verdana" w:hAnsi="Verdana"/>
                <w:b w:val="0"/>
                <w:sz w:val="16"/>
              </w:rPr>
              <w:t>AMSU-A 14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w:t>
            </w:r>
          </w:p>
        </w:tc>
        <w:tc>
          <w:tcPr>
            <w:tcW w:type="dxa" w:w="5046"/>
          </w:tcPr>
          <w:p>
            <w:pPr>
              <w:spacing w:before="20" w:after="20"/>
            </w:pPr>
            <w:r/>
            <w:r>
              <w:rPr>
                <w:rFonts w:ascii="Verdana" w:hAnsi="Verdana"/>
                <w:b w:val="0"/>
                <w:sz w:val="16"/>
              </w:rPr>
              <w:t>AMSU-A 15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43</w:t>
            </w:r>
          </w:p>
        </w:tc>
        <w:tc>
          <w:tcPr>
            <w:tcW w:type="dxa" w:w="5046"/>
          </w:tcPr>
          <w:p>
            <w:pPr>
              <w:spacing w:before="20" w:after="20"/>
            </w:pPr>
            <w:r/>
            <w:r>
              <w:rPr>
                <w:rFonts w:ascii="Verdana" w:hAnsi="Verdana"/>
                <w:b w:val="0"/>
                <w:sz w:val="16"/>
              </w:rPr>
              <w:t>AMSU-B 1/MHS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44</w:t>
            </w:r>
          </w:p>
        </w:tc>
        <w:tc>
          <w:tcPr>
            <w:tcW w:type="dxa" w:w="5046"/>
          </w:tcPr>
          <w:p>
            <w:pPr>
              <w:spacing w:before="20" w:after="20"/>
            </w:pPr>
            <w:r/>
            <w:r>
              <w:rPr>
                <w:rFonts w:ascii="Verdana" w:hAnsi="Verdana"/>
                <w:b w:val="0"/>
                <w:sz w:val="16"/>
              </w:rPr>
              <w:t>AMSU-B 2/MHS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45</w:t>
            </w:r>
          </w:p>
        </w:tc>
        <w:tc>
          <w:tcPr>
            <w:tcW w:type="dxa" w:w="5046"/>
          </w:tcPr>
          <w:p>
            <w:pPr>
              <w:spacing w:before="20" w:after="20"/>
            </w:pPr>
            <w:r/>
            <w:r>
              <w:rPr>
                <w:rFonts w:ascii="Verdana" w:hAnsi="Verdana"/>
                <w:b w:val="0"/>
                <w:sz w:val="16"/>
              </w:rPr>
              <w:t>AMSU-B 3/MHS 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AMSU-B 4/MHS 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47</w:t>
            </w:r>
          </w:p>
        </w:tc>
        <w:tc>
          <w:tcPr>
            <w:tcW w:type="dxa" w:w="5046"/>
          </w:tcPr>
          <w:p>
            <w:pPr>
              <w:spacing w:before="20" w:after="20"/>
            </w:pPr>
            <w:r/>
            <w:r>
              <w:rPr>
                <w:rFonts w:ascii="Verdana" w:hAnsi="Verdana"/>
                <w:b w:val="0"/>
                <w:sz w:val="16"/>
              </w:rPr>
              <w:t>AMSU-B 5/MHS 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48</w:t>
            </w:r>
          </w:p>
        </w:tc>
        <w:tc>
          <w:tcPr>
            <w:tcW w:type="dxa" w:w="5046"/>
          </w:tcPr>
          <w:p>
            <w:pPr>
              <w:spacing w:before="20" w:after="20"/>
            </w:pPr>
            <w:r/>
            <w:r>
              <w:rPr>
                <w:rFonts w:ascii="Verdana" w:hAnsi="Verdana"/>
                <w:b w:val="0"/>
                <w:sz w:val="16"/>
              </w:rPr>
              <w:t>AVHRR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49</w:t>
            </w:r>
          </w:p>
        </w:tc>
        <w:tc>
          <w:tcPr>
            <w:tcW w:type="dxa" w:w="5046"/>
          </w:tcPr>
          <w:p>
            <w:pPr>
              <w:spacing w:before="20" w:after="20"/>
            </w:pPr>
            <w:r/>
            <w:r>
              <w:rPr>
                <w:rFonts w:ascii="Verdana" w:hAnsi="Verdana"/>
                <w:b w:val="0"/>
                <w:sz w:val="16"/>
              </w:rPr>
              <w:t>AVHRR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w:t>
            </w:r>
          </w:p>
        </w:tc>
        <w:tc>
          <w:tcPr>
            <w:tcW w:type="dxa" w:w="5046"/>
          </w:tcPr>
          <w:p>
            <w:pPr>
              <w:spacing w:before="20" w:after="20"/>
            </w:pPr>
            <w:r/>
            <w:r>
              <w:rPr>
                <w:rFonts w:ascii="Verdana" w:hAnsi="Verdana"/>
                <w:b w:val="0"/>
                <w:sz w:val="16"/>
              </w:rPr>
              <w:t>AVHRR 3a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w:t>
            </w:r>
          </w:p>
        </w:tc>
        <w:tc>
          <w:tcPr>
            <w:tcW w:type="dxa" w:w="5046"/>
          </w:tcPr>
          <w:p>
            <w:pPr>
              <w:spacing w:before="20" w:after="20"/>
            </w:pPr>
            <w:r/>
            <w:r>
              <w:rPr>
                <w:rFonts w:ascii="Verdana" w:hAnsi="Verdana"/>
                <w:b w:val="0"/>
                <w:sz w:val="16"/>
              </w:rPr>
              <w:t>AVHRR 3b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52</w:t>
            </w:r>
          </w:p>
        </w:tc>
        <w:tc>
          <w:tcPr>
            <w:tcW w:type="dxa" w:w="5046"/>
          </w:tcPr>
          <w:p>
            <w:pPr>
              <w:spacing w:before="20" w:after="20"/>
            </w:pPr>
            <w:r/>
            <w:r>
              <w:rPr>
                <w:rFonts w:ascii="Verdana" w:hAnsi="Verdana"/>
                <w:b w:val="0"/>
                <w:sz w:val="16"/>
              </w:rPr>
              <w:t>AVHRR 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53</w:t>
            </w:r>
          </w:p>
        </w:tc>
        <w:tc>
          <w:tcPr>
            <w:tcW w:type="dxa" w:w="5046"/>
          </w:tcPr>
          <w:p>
            <w:pPr>
              <w:spacing w:before="20" w:after="20"/>
            </w:pPr>
            <w:r/>
            <w:r>
              <w:rPr>
                <w:rFonts w:ascii="Verdana" w:hAnsi="Verdana"/>
                <w:b w:val="0"/>
                <w:sz w:val="16"/>
              </w:rPr>
              <w:t>AVHRR 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54-62</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02 151  Identificador del radiómetro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HIRS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MSU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SSU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AMSU-A1-1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AMSU-A1-2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AMSU-A2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AMSU-B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AVHRR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MHS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10-2046</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2047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02 152  Instrumento de satélite utilizado en el proceso de los datos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Sonda de infrarrojos de alta resolución (HIRS)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Equipo de sondeo de microondas (MSU)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Sonda estratosférica (equipo de sondeo estratosférico) (SSU)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AMI en modo viento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AMI en modo ola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AMI en modo imagen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Altímetro radar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ATSR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Productor de imágenes geoestacionario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Sondeador geoestacionario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Instrumento para medir la radiación geoestacionaria de la Tierra (GERB)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Radiómetro de exploración multicanal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Reproductor de imágenes en órbita polar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14-30</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31</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02 158  Instrumento RA-2</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Discordancia en vector de redundancia – Amplificador de gran potencia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Discordancia en vector de redundancia – RFSS*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Banda de calibración PTR a 320 MHz (Ku)**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Banda de calibración PTR a 80 MHz (Ku)**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Banda de calibración PTR a 20 MHz (Ku)**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Banda de calibración PTR a 160 MHz (S)**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Parámetros de calibración de vuelo en banda Ku disponibles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Parámetros de calibración de vuelo en banda S disponibles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9</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02 159  Instrumento MWR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Discordancia de temperaturas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Faltan datos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Canal de redundancia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Protección de bus de potencia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Protección frente a sobrevoltaje/sobrecargas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8</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02 160  Longitud de onda del radar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10 a menos de 20 mm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20 a menos de 40 mm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40 a menos de 60 mm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60 a menos de 90 mm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90 a menos de 110 mm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110 mm y mayor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No utilizadas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02 161  Método de procesamiento del viento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1-10</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Altura del viento calculada a partir de la presión media del objetivo en la cima de las nubes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El objetivo está nublado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Inversión en el nivel bajo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Método de contibución de correlación cruzada (CCC)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Seguimiento de trayectoria anidada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Todos los 16</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02 162  Método ampliado de determinación de la altura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Autoeditor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Determinación de la altura en el canal de infrarrojos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Determinación de la altura del vapor de agua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Determinación de la altura del H2O por intercepción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Determinación de la altura del CO2 por fraccionamiento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Gradiente máximo de los píxeles de baja resolución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Gradiente máximo de los píxeles de mayor resolución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Determinación primaria de la altura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Determinación del espesor de la capa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Función de contribución acumulativa — 10 por ciento de la altura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Función de contribución acumulativa — 50 por ciento de la altura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Función de contribución acumulativa — 90 por ciento de la altura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Función de contribución acumulativa — altura del gradiente máximo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Método de proporcionalización IR/vapor de agua (2 canales)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Método mixto de determinación de la altura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Estimación óptima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Corrección de la inversión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Determinación de la altura geométrica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18-62</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02 163  Método de determinación de la altura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Autoeditor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Determinación de la altura en el canal de infrarrojos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Determinación de la altura en el canal del vapor de agua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Determinación de la altura en el canal de H2O por intercepción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Determinación de la altura en el canal de CO2 por fraccionamiento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Gradiente máximo de los píxels de baja resolución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Gradiente máximo de los píxels de mayor resolución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Determinación primaria de la altura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Determinación del espesor de la capa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Función de contribución acumulativa — 10 por ciento de la altura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Función de contribución acumulativa — 50 por ciento de la altura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Función de contribución acumulativa — 90 por ciento de la altura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Función de contribución acumulativa — altura del gradiente máximo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Método de proporcionalización IR/vapor de agua (2 canales)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Método mixto de determinación de la altura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02 164  Método de correlación del trazador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LP – Norma basada en los mínimos cuadrados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EN – Norma euclideana con correlación de las radiancias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CC – Correlación cruzada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Correspondencia estéreo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02 165  Banderines de tipo de radiancia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Trayecto despejado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Trayecto parcialmente nuboso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Trayecto nuboso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Apodizado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No apodizado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Reconstruido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Sin nubes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8-14</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02 166  Tipo de radiancia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Tipo no definido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Regresión estadística automatizada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Medición en cielo despejado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Medición en cielo parcialmente nuboso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Medición en cielo nuboso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02 167  Método de cálculo de la radiancia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Método no definido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Datos en bruto de la radiancia de nivel 1b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Datos procesados de la radiancia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02 169  Tipo de anemómetro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Rotor de cazoletas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Rotor a hélice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Wind Observación del viento a partir del ruido ambiental (WOTAN)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Sónico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02 170  Sensores de humedad de la aeronave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SpectraSensors WVSS-II, versión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SpectraSensors WVSS-II, versión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SpectraSensors WVSS-II, versión 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3-61</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w:t>
            </w:r>
          </w:p>
        </w:tc>
        <w:tc>
          <w:tcPr>
            <w:tcW w:type="dxa" w:w="5046"/>
          </w:tcPr>
          <w:p>
            <w:pPr>
              <w:spacing w:before="20" w:after="20"/>
            </w:pPr>
            <w:r/>
            <w:r>
              <w:rPr>
                <w:rFonts w:ascii="Verdana" w:hAnsi="Verdana"/>
                <w:b w:val="0"/>
                <w:sz w:val="16"/>
              </w:rPr>
              <w:t>Otros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02 172  Tipo de producto para la recuperación de datos sobre gases atmosféricos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Recuperación de datos de un sondeo ascendente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Recuperación de datos de un sondeo descendente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3-254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02 175  Método de medición de la precipitación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Medición manual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Método de cubeta basculante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Método de ponderación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Método óptico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Método de presión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Método de flotación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Método cuentagotas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7-13</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Otros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02 176  Método de medición del estado del suelo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Observación manual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Método de videocámara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Método de infrarrojos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Método láser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4-13</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Otros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02 177  Método de medición del espesor de la nieve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Observación manual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Método ultrasónico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Método de videocámara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Método láser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4-13</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Otros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02 178  Método de medición del contenido líquido de la precipitación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Observación manual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Método óptico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Método capacitivo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3-13</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Otros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02 179  Tipo de algoritmo de la condición del cielo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Observación manual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Algoritmo VAISALA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Algoritmo ASOS (FAA)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Algoritmo AWOS (Canadá)</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4-13</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Otros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02 180  Principal sistema de detección del tiempo presente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Observación manual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Sistema de dispersión óptica combinado con sistema de detección de precipitación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Sistema de dispersión hacia adelante y/o hacia atrás de luz visible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Sistema de dispersión hacia adelante y/o hacia atrás de luz infrarroja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Sistema de diodo emisor de luz infrarroja (IRED)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Sistema de radar Doppler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6-13</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Otros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02 181  Sensor suplementario de tiempo presente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Detector de lluvia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Sensor de lluvia engelante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Sensor de detección de hielo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Sensor de granizo y de hielo granulado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5-19</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Otros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21</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02 182  Sistema de medición de la visibilidad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Medición manual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Sistema de transmisómetro (base &gt; 25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Sistema de transmisómetro (base &lt; 25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Sistema de dispersión hacia adelante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Sistema de retrodispersión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5-13</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Otros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02 183  Sistema de detección de nubes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Observación manual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Sistemas de nefobasímetro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Sistema de cámara infrarroja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Sistema de cámara visual de microondas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Sistema de captación de imágenes celestes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Sistema de videocámara de cadencia lenta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Sistema de microimpulsos LIDAR (MPL)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7-13</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Otros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02 184  Tipo de sensor de detección del rayo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Observación manual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Sensor de imágenes de rayos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Sensor de identificación de tormentas eléctricas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Sensor localizador magnético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Sensor de descargas eléctricas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Contador de relámpagos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Sensor correlacionado de forma de onda ATDnet VLF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7-13</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Otros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02 185  Método de medición de la evaporación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Medición manual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Método de flotación equilibrado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Método de presión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Método ultrasónico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Método hidráulico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5-13</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Otros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02 186  Capacidad para detectar fenómenos de precipitación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Precipitación de tipo desconocido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Precipitación líquida no engelante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Precipitación líquida engelante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Llovizna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Lluvia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Precipitación sólida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Nieve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Cinarra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Nieve granulada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Hielo granulado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Cristales de hielo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Prismas de hielo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Granizo menudo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Granizo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Hielo liso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Cencellada blanca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Cencellada blanca granulada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Cencellada blanca cristalizada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Cencellada transparente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Nieve mojada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Escarcha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Rocío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Rocío blanco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Precipitación convectiva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25-29</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30</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02 187  Capacidad para detectar otros fenómenos meteorológicos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Torbellino de polvo/arena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Turbonadas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Tempestad de arena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Tempestad de polvo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Rayo — de nube a superficie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Rayo — de nube a nube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Rayo — distante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Tormenta eléctrica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Nube con forma de embudo que no toca la superficie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Nube con forma de embudo que toca la superficie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Roción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12-17</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18</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02 188  Capacidad para detectar el oscurecimiento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Niebla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Niebla helada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Vapor de niebla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Bruma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Calima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Humo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Ceniza volcánica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Polvo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Arena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Nieve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14-20</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21</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02 189  Capacidad para distinguir entre descargas eléctricas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Observación manual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Todas las descargas eléctricas sin distinción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Descargas eléctricas de nube a suelo solamente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Todas las descargas eléctricas con distinción entre nube a suelo y nube a nube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5-11</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12</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02 191  Cálculo de la altura geopotencial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Altura geopotencial calculada a partir de la presión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Altura geopotencial calculada a partir de la altura mediante GPS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Altura geopotencial calculada a partir de la altura mediante radar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