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00: Entradas de las tablas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A: elemento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A: descripción de la categoría de datos, línea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A: descripción de la categoría de datos, línea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B98: Las tablas maestras están descritas en la nota 2 de la Sección 1 de las reglas BUFR (parte de la regla titulada “Especificación del contenido de octetos”).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edición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B33: Los números de versión de la tabla maestra de BUFR se indican en la Tabla de cifrado común C–0 y en la nota 2 de la Sección 1 de las reglas BUFR.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B40: Los números de versión de la tabla maestra de CREX se indican en la Tabla de cifrado común C–0.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B76: Para el número de versión de la tabla local, véase la nota 2 de la Sección 1 de la reglas de BUFR. I.2 – BUFR/CREX Tabla B/00 – 2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F que se agregará o definirá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X que se agregará o definirá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Y que se agregará o definirá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elemento, línea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elemento, línea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las unidades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Signo del factor de escala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escala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Signo de referencia de las unidades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referencia de las unidades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 datos del elemento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 de la cifra de clave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bits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 del número de bits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que define al descriptor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B75: Para los descriptores CREX F = B, no 0.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