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14: Radiación y radiancia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NOMBRE DEL ELEMENTO</w:t>
            </w:r>
          </w:p>
        </w:tc>
        <w:tc>
          <w:tcPr>
            <w:tcW w:type="dxa" w:w="1514"/>
            <w:shd w:val="clear" w:color="auto" w:fill="D9D9D9"/>
          </w:tcPr>
          <w:p>
            <w:pPr>
              <w:spacing w:before="20" w:after="20"/>
            </w:pPr>
            <w:r/>
            <w:r>
              <w:rPr>
                <w:rFonts w:ascii="Verdana" w:hAnsi="Verdana"/>
                <w:b w:val="0"/>
                <w:sz w:val="16"/>
              </w:rPr>
              <w:t>UNIDAD BUFR</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VAL. REF.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UNIDAD CREX</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NOTA</w:t>
            </w:r>
          </w:p>
        </w:tc>
      </w:tr>
      <w:tr>
        <w:trPr>
          <w:cantSplit/>
        </w:trPr>
        <w:tc>
          <w:tcPr>
            <w:tcW w:type="dxa" w:w="1514"/>
          </w:tcPr>
          <w:p>
            <w:pPr>
              <w:spacing w:before="20" w:after="20"/>
            </w:pPr>
            <w:r/>
            <w:r>
              <w:rPr>
                <w:rFonts w:ascii="Verdana" w:hAnsi="Verdana"/>
                <w:b w:val="0"/>
                <w:sz w:val="16"/>
              </w:rPr>
              <w:t>0 14 001</w:t>
            </w:r>
          </w:p>
        </w:tc>
        <w:tc>
          <w:tcPr>
            <w:tcW w:type="dxa" w:w="1514"/>
          </w:tcPr>
          <w:p>
            <w:pPr>
              <w:spacing w:before="20" w:after="20"/>
            </w:pPr>
            <w:r/>
            <w:r>
              <w:rPr>
                <w:rFonts w:ascii="Verdana" w:hAnsi="Verdana"/>
                <w:b w:val="0"/>
                <w:sz w:val="16"/>
              </w:rPr>
              <w:t>Radiación de onda larga, integrada durante 24 horas</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0 14 002</w:t>
            </w:r>
          </w:p>
        </w:tc>
        <w:tc>
          <w:tcPr>
            <w:tcW w:type="dxa" w:w="1514"/>
          </w:tcPr>
          <w:p>
            <w:pPr>
              <w:spacing w:before="20" w:after="20"/>
            </w:pPr>
            <w:r/>
            <w:r>
              <w:rPr>
                <w:rFonts w:ascii="Verdana" w:hAnsi="Verdana"/>
                <w:b w:val="0"/>
                <w:sz w:val="16"/>
              </w:rPr>
              <w:t>Radiación de onda larga, integrada en un período determinado</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0 14 003</w:t>
            </w:r>
          </w:p>
        </w:tc>
        <w:tc>
          <w:tcPr>
            <w:tcW w:type="dxa" w:w="1514"/>
          </w:tcPr>
          <w:p>
            <w:pPr>
              <w:spacing w:before="20" w:after="20"/>
            </w:pPr>
            <w:r/>
            <w:r>
              <w:rPr>
                <w:rFonts w:ascii="Verdana" w:hAnsi="Verdana"/>
                <w:b w:val="0"/>
                <w:sz w:val="16"/>
              </w:rPr>
              <w:t>Radiación de onda corta, integrada durante 24 horas</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0 14 004</w:t>
            </w:r>
          </w:p>
        </w:tc>
        <w:tc>
          <w:tcPr>
            <w:tcW w:type="dxa" w:w="1514"/>
          </w:tcPr>
          <w:p>
            <w:pPr>
              <w:spacing w:before="20" w:after="20"/>
            </w:pPr>
            <w:r/>
            <w:r>
              <w:rPr>
                <w:rFonts w:ascii="Verdana" w:hAnsi="Verdana"/>
                <w:b w:val="0"/>
                <w:sz w:val="16"/>
              </w:rPr>
              <w:t>Radiación de onda corta, integrada en un período determinado</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0 14 011</w:t>
            </w:r>
          </w:p>
        </w:tc>
        <w:tc>
          <w:tcPr>
            <w:tcW w:type="dxa" w:w="1514"/>
          </w:tcPr>
          <w:p>
            <w:pPr>
              <w:spacing w:before="20" w:after="20"/>
            </w:pPr>
            <w:r/>
            <w:r>
              <w:rPr>
                <w:rFonts w:ascii="Verdana" w:hAnsi="Verdana"/>
                <w:b w:val="0"/>
                <w:sz w:val="16"/>
              </w:rPr>
              <w:t>Radiación neta de onda larga, integrada durante 24 horas</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0 14 012</w:t>
            </w:r>
          </w:p>
        </w:tc>
        <w:tc>
          <w:tcPr>
            <w:tcW w:type="dxa" w:w="1514"/>
          </w:tcPr>
          <w:p>
            <w:pPr>
              <w:spacing w:before="20" w:after="20"/>
            </w:pPr>
            <w:r/>
            <w:r>
              <w:rPr>
                <w:rFonts w:ascii="Verdana" w:hAnsi="Verdana"/>
                <w:b w:val="0"/>
                <w:sz w:val="16"/>
              </w:rPr>
              <w:t>Radiación neta de onda larga, integrada durante un período determinado</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0 14 013</w:t>
            </w:r>
          </w:p>
        </w:tc>
        <w:tc>
          <w:tcPr>
            <w:tcW w:type="dxa" w:w="1514"/>
          </w:tcPr>
          <w:p>
            <w:pPr>
              <w:spacing w:before="20" w:after="20"/>
            </w:pPr>
            <w:r/>
            <w:r>
              <w:rPr>
                <w:rFonts w:ascii="Verdana" w:hAnsi="Verdana"/>
                <w:b w:val="0"/>
                <w:sz w:val="16"/>
              </w:rPr>
              <w:t>Radiación neta de onda corta, integrada durante 24 horas</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0 14 014</w:t>
            </w:r>
          </w:p>
        </w:tc>
        <w:tc>
          <w:tcPr>
            <w:tcW w:type="dxa" w:w="1514"/>
          </w:tcPr>
          <w:p>
            <w:pPr>
              <w:spacing w:before="20" w:after="20"/>
            </w:pPr>
            <w:r/>
            <w:r>
              <w:rPr>
                <w:rFonts w:ascii="Verdana" w:hAnsi="Verdana"/>
                <w:b w:val="0"/>
                <w:sz w:val="16"/>
              </w:rPr>
              <w:t>Radiación neta de onda corta, integrada durante un período determinado</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0 14 015</w:t>
            </w:r>
          </w:p>
        </w:tc>
        <w:tc>
          <w:tcPr>
            <w:tcW w:type="dxa" w:w="1514"/>
          </w:tcPr>
          <w:p>
            <w:pPr>
              <w:spacing w:before="20" w:after="20"/>
            </w:pPr>
            <w:r/>
            <w:r>
              <w:rPr>
                <w:rFonts w:ascii="Verdana" w:hAnsi="Verdana"/>
                <w:b w:val="0"/>
                <w:sz w:val="16"/>
              </w:rPr>
              <w:t>Radiación neta integrada durante 24 horas</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-16384</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0 14 016</w:t>
            </w:r>
          </w:p>
        </w:tc>
        <w:tc>
          <w:tcPr>
            <w:tcW w:type="dxa" w:w="1514"/>
          </w:tcPr>
          <w:p>
            <w:pPr>
              <w:spacing w:before="20" w:after="20"/>
            </w:pPr>
            <w:r/>
            <w:r>
              <w:rPr>
                <w:rFonts w:ascii="Verdana" w:hAnsi="Verdana"/>
                <w:b w:val="0"/>
                <w:sz w:val="16"/>
              </w:rPr>
              <w:t>Radiación neta, integrada en un período determinado</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-16384</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0 14 017</w:t>
            </w:r>
          </w:p>
        </w:tc>
        <w:tc>
          <w:tcPr>
            <w:tcW w:type="dxa" w:w="1514"/>
          </w:tcPr>
          <w:p>
            <w:pPr>
              <w:spacing w:before="20" w:after="20"/>
            </w:pPr>
            <w:r/>
            <w:r>
              <w:rPr>
                <w:rFonts w:ascii="Verdana" w:hAnsi="Verdana"/>
                <w:b w:val="0"/>
                <w:sz w:val="16"/>
              </w:rPr>
              <w:t>Radiación instantánea de onda larga</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-512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0 14 018</w:t>
            </w:r>
          </w:p>
        </w:tc>
        <w:tc>
          <w:tcPr>
            <w:tcW w:type="dxa" w:w="1514"/>
          </w:tcPr>
          <w:p>
            <w:pPr>
              <w:spacing w:before="20" w:after="20"/>
            </w:pPr>
            <w:r/>
            <w:r>
              <w:rPr>
                <w:rFonts w:ascii="Verdana" w:hAnsi="Verdana"/>
                <w:b w:val="0"/>
                <w:sz w:val="16"/>
              </w:rPr>
              <w:t>Radiación instantánea de onda corta</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0 14 019</w:t>
            </w:r>
          </w:p>
        </w:tc>
        <w:tc>
          <w:tcPr>
            <w:tcW w:type="dxa" w:w="1514"/>
          </w:tcPr>
          <w:p>
            <w:pPr>
              <w:spacing w:before="20" w:after="20"/>
            </w:pPr>
            <w:r/>
            <w:r>
              <w:rPr>
                <w:rFonts w:ascii="Verdana" w:hAnsi="Verdana"/>
                <w:b w:val="0"/>
                <w:sz w:val="16"/>
              </w:rPr>
              <w:t>Albedo en superficie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0 14 020</w:t>
            </w:r>
          </w:p>
        </w:tc>
        <w:tc>
          <w:tcPr>
            <w:tcW w:type="dxa" w:w="1514"/>
          </w:tcPr>
          <w:p>
            <w:pPr>
              <w:spacing w:before="20" w:after="20"/>
            </w:pPr>
            <w:r/>
            <w:r>
              <w:rPr>
                <w:rFonts w:ascii="Verdana" w:hAnsi="Verdana"/>
                <w:b w:val="0"/>
                <w:sz w:val="16"/>
              </w:rPr>
              <w:t>Radiación solar global integrada durante 24 horas</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0 14 021</w:t>
            </w:r>
          </w:p>
        </w:tc>
        <w:tc>
          <w:tcPr>
            <w:tcW w:type="dxa" w:w="1514"/>
          </w:tcPr>
          <w:p>
            <w:pPr>
              <w:spacing w:before="20" w:after="20"/>
            </w:pPr>
            <w:r/>
            <w:r>
              <w:rPr>
                <w:rFonts w:ascii="Verdana" w:hAnsi="Verdana"/>
                <w:b w:val="0"/>
                <w:sz w:val="16"/>
              </w:rPr>
              <w:t>Radiación solar global integrada en un período determinado</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0 14 022</w:t>
            </w:r>
          </w:p>
        </w:tc>
        <w:tc>
          <w:tcPr>
            <w:tcW w:type="dxa" w:w="1514"/>
          </w:tcPr>
          <w:p>
            <w:pPr>
              <w:spacing w:before="20" w:after="20"/>
            </w:pPr>
            <w:r/>
            <w:r>
              <w:rPr>
                <w:rFonts w:ascii="Verdana" w:hAnsi="Verdana"/>
                <w:b w:val="0"/>
                <w:sz w:val="16"/>
              </w:rPr>
              <w:t>Radiación solar difusa integrada durante 24 horas</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0 14 023</w:t>
            </w:r>
          </w:p>
        </w:tc>
        <w:tc>
          <w:tcPr>
            <w:tcW w:type="dxa" w:w="1514"/>
          </w:tcPr>
          <w:p>
            <w:pPr>
              <w:spacing w:before="20" w:after="20"/>
            </w:pPr>
            <w:r/>
            <w:r>
              <w:rPr>
                <w:rFonts w:ascii="Verdana" w:hAnsi="Verdana"/>
                <w:b w:val="0"/>
                <w:sz w:val="16"/>
              </w:rPr>
              <w:t>Radiación solar difusa integrada en un período determinado</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0 14 024</w:t>
            </w:r>
          </w:p>
        </w:tc>
        <w:tc>
          <w:tcPr>
            <w:tcW w:type="dxa" w:w="1514"/>
          </w:tcPr>
          <w:p>
            <w:pPr>
              <w:spacing w:before="20" w:after="20"/>
            </w:pPr>
            <w:r/>
            <w:r>
              <w:rPr>
                <w:rFonts w:ascii="Verdana" w:hAnsi="Verdana"/>
                <w:b w:val="0"/>
                <w:sz w:val="16"/>
              </w:rPr>
              <w:t>Radiación solar directa integrada durante 24 horas</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0 14 025</w:t>
            </w:r>
          </w:p>
        </w:tc>
        <w:tc>
          <w:tcPr>
            <w:tcW w:type="dxa" w:w="1514"/>
          </w:tcPr>
          <w:p>
            <w:pPr>
              <w:spacing w:before="20" w:after="20"/>
            </w:pPr>
            <w:r/>
            <w:r>
              <w:rPr>
                <w:rFonts w:ascii="Verdana" w:hAnsi="Verdana"/>
                <w:b w:val="0"/>
                <w:sz w:val="16"/>
              </w:rPr>
              <w:t>Radiación solar directa integrada en un período determinado</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0 14 026</w:t>
            </w:r>
          </w:p>
        </w:tc>
        <w:tc>
          <w:tcPr>
            <w:tcW w:type="dxa" w:w="1514"/>
          </w:tcPr>
          <w:p>
            <w:pPr>
              <w:spacing w:before="20" w:after="20"/>
            </w:pPr>
            <w:r/>
            <w:r>
              <w:rPr>
                <w:rFonts w:ascii="Verdana" w:hAnsi="Verdana"/>
                <w:b w:val="0"/>
                <w:sz w:val="16"/>
              </w:rPr>
              <w:t>Albedo en la cima de las nubes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0 14 027</w:t>
            </w:r>
          </w:p>
        </w:tc>
        <w:tc>
          <w:tcPr>
            <w:tcW w:type="dxa" w:w="1514"/>
          </w:tcPr>
          <w:p>
            <w:pPr>
              <w:spacing w:before="20" w:after="20"/>
            </w:pPr>
            <w:r/>
            <w:r>
              <w:rPr>
                <w:rFonts w:ascii="Verdana" w:hAnsi="Verdana"/>
                <w:b w:val="0"/>
                <w:sz w:val="16"/>
              </w:rPr>
              <w:t>Albedo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0 14 028</w:t>
            </w:r>
          </w:p>
        </w:tc>
        <w:tc>
          <w:tcPr>
            <w:tcW w:type="dxa" w:w="1514"/>
          </w:tcPr>
          <w:p>
            <w:pPr>
              <w:spacing w:before="20" w:after="20"/>
            </w:pPr>
            <w:r/>
            <w:r>
              <w:rPr>
                <w:rFonts w:ascii="Verdana" w:hAnsi="Verdana"/>
                <w:b w:val="0"/>
                <w:sz w:val="16"/>
              </w:rPr>
              <w:t>Radiación solar global (gran precisión) integrada en un período determinado</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0 14 029</w:t>
            </w:r>
          </w:p>
        </w:tc>
        <w:tc>
          <w:tcPr>
            <w:tcW w:type="dxa" w:w="1514"/>
          </w:tcPr>
          <w:p>
            <w:pPr>
              <w:spacing w:before="20" w:after="20"/>
            </w:pPr>
            <w:r/>
            <w:r>
              <w:rPr>
                <w:rFonts w:ascii="Verdana" w:hAnsi="Verdana"/>
                <w:b w:val="0"/>
                <w:sz w:val="16"/>
              </w:rPr>
              <w:t>Radiación solar difusa (gran precisión) integrada en un período determinado</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0 14 030</w:t>
            </w:r>
          </w:p>
        </w:tc>
        <w:tc>
          <w:tcPr>
            <w:tcW w:type="dxa" w:w="1514"/>
          </w:tcPr>
          <w:p>
            <w:pPr>
              <w:spacing w:before="20" w:after="20"/>
            </w:pPr>
            <w:r/>
            <w:r>
              <w:rPr>
                <w:rFonts w:ascii="Verdana" w:hAnsi="Verdana"/>
                <w:b w:val="0"/>
                <w:sz w:val="16"/>
              </w:rPr>
              <w:t>Radiación solar directa (gran precisión) integrada en un período determinado</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0 14 031</w:t>
            </w:r>
          </w:p>
        </w:tc>
        <w:tc>
          <w:tcPr>
            <w:tcW w:type="dxa" w:w="1514"/>
          </w:tcPr>
          <w:p>
            <w:pPr>
              <w:spacing w:before="20" w:after="20"/>
            </w:pPr>
            <w:r/>
            <w:r>
              <w:rPr>
                <w:rFonts w:ascii="Verdana" w:hAnsi="Verdana"/>
                <w:b w:val="0"/>
                <w:sz w:val="16"/>
              </w:rPr>
              <w:t>Insolación total</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0 14 032</w:t>
            </w:r>
          </w:p>
        </w:tc>
        <w:tc>
          <w:tcPr>
            <w:tcW w:type="dxa" w:w="1514"/>
          </w:tcPr>
          <w:p>
            <w:pPr>
              <w:spacing w:before="20" w:after="20"/>
            </w:pPr>
            <w:r/>
            <w:r>
              <w:rPr>
                <w:rFonts w:ascii="Verdana" w:hAnsi="Verdana"/>
                <w:b w:val="0"/>
                <w:sz w:val="16"/>
              </w:rPr>
              <w:t>Insolación total</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0 14 033</w:t>
            </w:r>
          </w:p>
        </w:tc>
        <w:tc>
          <w:tcPr>
            <w:tcW w:type="dxa" w:w="1514"/>
          </w:tcPr>
          <w:p>
            <w:pPr>
              <w:spacing w:before="20" w:after="20"/>
            </w:pPr>
            <w:r/>
            <w:r>
              <w:rPr>
                <w:rFonts w:ascii="Verdana" w:hAnsi="Verdana"/>
                <w:b w:val="0"/>
                <w:sz w:val="16"/>
              </w:rPr>
              <w:t>Insolación total</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0 14 034</w:t>
            </w:r>
          </w:p>
        </w:tc>
        <w:tc>
          <w:tcPr>
            <w:tcW w:type="dxa" w:w="1514"/>
          </w:tcPr>
          <w:p>
            <w:pPr>
              <w:spacing w:before="20" w:after="20"/>
            </w:pPr>
            <w:r/>
            <w:r>
              <w:rPr>
                <w:rFonts w:ascii="Verdana" w:hAnsi="Verdana"/>
                <w:b w:val="0"/>
                <w:sz w:val="16"/>
              </w:rPr>
              <w:t>Insolación integrada en un período determinado</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0 14 035</w:t>
            </w:r>
          </w:p>
        </w:tc>
        <w:tc>
          <w:tcPr>
            <w:tcW w:type="dxa" w:w="1514"/>
          </w:tcPr>
          <w:p>
            <w:pPr>
              <w:spacing w:before="20" w:after="20"/>
            </w:pPr>
            <w:r/>
            <w:r>
              <w:rPr>
                <w:rFonts w:ascii="Verdana" w:hAnsi="Verdana"/>
                <w:b w:val="0"/>
                <w:sz w:val="16"/>
              </w:rPr>
              <w:t>Flujo de radiación solar</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0 14 042</w:t>
            </w:r>
          </w:p>
        </w:tc>
        <w:tc>
          <w:tcPr>
            <w:tcW w:type="dxa" w:w="1514"/>
          </w:tcPr>
          <w:p>
            <w:pPr>
              <w:spacing w:before="20" w:after="20"/>
            </w:pPr>
            <w:r/>
            <w:r>
              <w:rPr>
                <w:rFonts w:ascii="Verdana" w:hAnsi="Verdana"/>
                <w:b w:val="0"/>
                <w:sz w:val="16"/>
              </w:rPr>
              <w:t>Reflexión bidireccional</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0 14 043</w:t>
            </w:r>
          </w:p>
        </w:tc>
        <w:tc>
          <w:tcPr>
            <w:tcW w:type="dxa" w:w="1514"/>
          </w:tcPr>
          <w:p>
            <w:pPr>
              <w:spacing w:before="20" w:after="20"/>
            </w:pPr>
            <w:r/>
            <w:r>
              <w:rPr>
                <w:rFonts w:ascii="Verdana" w:hAnsi="Verdana"/>
                <w:b w:val="0"/>
                <w:sz w:val="16"/>
              </w:rPr>
              <w:t>Radiancia del canal</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µm</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µm</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Note B35: En el caso de la radiancia del canal (0 14 043), el número de onda se representa en micrones.</w:t>
            </w:r>
          </w:p>
        </w:tc>
      </w:tr>
      <w:tr>
        <w:trPr>
          <w:cantSplit/>
        </w:trPr>
        <w:tc>
          <w:tcPr>
            <w:tcW w:type="dxa" w:w="1514"/>
          </w:tcPr>
          <w:p>
            <w:pPr>
              <w:spacing w:before="20" w:after="20"/>
            </w:pPr>
            <w:r/>
            <w:r>
              <w:rPr>
                <w:rFonts w:ascii="Verdana" w:hAnsi="Verdana"/>
                <w:b w:val="0"/>
                <w:sz w:val="16"/>
              </w:rPr>
              <w:t>0 14 044</w:t>
            </w:r>
          </w:p>
        </w:tc>
        <w:tc>
          <w:tcPr>
            <w:tcW w:type="dxa" w:w="1514"/>
          </w:tcPr>
          <w:p>
            <w:pPr>
              <w:spacing w:before="20" w:after="20"/>
            </w:pPr>
            <w:r/>
            <w:r>
              <w:rPr>
                <w:rFonts w:ascii="Verdana" w:hAnsi="Verdana"/>
                <w:b w:val="0"/>
                <w:sz w:val="16"/>
              </w:rPr>
              <w:t>Radiancia del canal</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22</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0 14 045</w:t>
            </w:r>
          </w:p>
        </w:tc>
        <w:tc>
          <w:tcPr>
            <w:tcW w:type="dxa" w:w="1514"/>
          </w:tcPr>
          <w:p>
            <w:pPr>
              <w:spacing w:before="20" w:after="20"/>
            </w:pPr>
            <w:r/>
            <w:r>
              <w:rPr>
                <w:rFonts w:ascii="Verdana" w:hAnsi="Verdana"/>
                <w:b w:val="0"/>
                <w:sz w:val="16"/>
              </w:rPr>
              <w:t>Radiancia del canal</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B36: En el caso de la radiancia del canal (0 14 045), el número de onda se representa en centímetros.</w:t>
            </w:r>
          </w:p>
        </w:tc>
      </w:tr>
      <w:tr>
        <w:trPr>
          <w:cantSplit/>
        </w:trPr>
        <w:tc>
          <w:tcPr>
            <w:tcW w:type="dxa" w:w="1514"/>
          </w:tcPr>
          <w:p>
            <w:pPr>
              <w:spacing w:before="20" w:after="20"/>
            </w:pPr>
            <w:r/>
            <w:r>
              <w:rPr>
                <w:rFonts w:ascii="Verdana" w:hAnsi="Verdana"/>
                <w:b w:val="0"/>
                <w:sz w:val="16"/>
              </w:rPr>
              <w:t>0 14 046</w:t>
            </w:r>
          </w:p>
        </w:tc>
        <w:tc>
          <w:tcPr>
            <w:tcW w:type="dxa" w:w="1514"/>
          </w:tcPr>
          <w:p>
            <w:pPr>
              <w:spacing w:before="20" w:after="20"/>
            </w:pPr>
            <w:r/>
            <w:r>
              <w:rPr>
                <w:rFonts w:ascii="Verdana" w:hAnsi="Verdana"/>
                <w:b w:val="0"/>
                <w:sz w:val="16"/>
              </w:rPr>
              <w:t>Radiancia IASI ajustada</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B29: Se ha introducido un factor de compensación en las radiancias ajustadas (0 14 046). Con ello se trata de ajustar las radiancias negativas que pueden medirse en algunos números de onda, ya sea debido al efecto del ruido o por permanecer después de la apodización. La compensación es un valor de mayor magnitud que la excursión negativa máxima esperada sobre la base del ruido de un instrumento, y de esa manera queda un margen suficiente. Al mismo tiempo, la gama dinámica no se reduce de forma significativa.</w:t>
            </w:r>
          </w:p>
        </w:tc>
      </w:tr>
      <w:tr>
        <w:trPr>
          <w:cantSplit/>
        </w:trPr>
        <w:tc>
          <w:tcPr>
            <w:tcW w:type="dxa" w:w="1514"/>
          </w:tcPr>
          <w:p>
            <w:pPr>
              <w:spacing w:before="20" w:after="20"/>
            </w:pPr>
            <w:r/>
            <w:r>
              <w:rPr>
                <w:rFonts w:ascii="Verdana" w:hAnsi="Verdana"/>
                <w:b w:val="0"/>
                <w:sz w:val="16"/>
              </w:rPr>
              <w:t>0 14 047</w:t>
            </w:r>
          </w:p>
        </w:tc>
        <w:tc>
          <w:tcPr>
            <w:tcW w:type="dxa" w:w="1514"/>
          </w:tcPr>
          <w:p>
            <w:pPr>
              <w:spacing w:before="20" w:after="20"/>
            </w:pPr>
            <w:r/>
            <w:r>
              <w:rPr>
                <w:rFonts w:ascii="Verdana" w:hAnsi="Verdana"/>
                <w:b w:val="0"/>
                <w:sz w:val="16"/>
              </w:rPr>
              <w:t>Radiancia media ajustada AVHRR</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0 14 048</w:t>
            </w:r>
          </w:p>
        </w:tc>
        <w:tc>
          <w:tcPr>
            <w:tcW w:type="dxa" w:w="1514"/>
          </w:tcPr>
          <w:p>
            <w:pPr>
              <w:spacing w:before="20" w:after="20"/>
            </w:pPr>
            <w:r/>
            <w:r>
              <w:rPr>
                <w:rFonts w:ascii="Verdana" w:hAnsi="Verdana"/>
                <w:b w:val="0"/>
                <w:sz w:val="16"/>
              </w:rPr>
              <w:t>Radiancia de la desviación estándar ajustada AVHRR</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0 14 050</w:t>
            </w:r>
          </w:p>
        </w:tc>
        <w:tc>
          <w:tcPr>
            <w:tcW w:type="dxa" w:w="1514"/>
          </w:tcPr>
          <w:p>
            <w:pPr>
              <w:spacing w:before="20" w:after="20"/>
            </w:pPr>
            <w:r/>
            <w:r>
              <w:rPr>
                <w:rFonts w:ascii="Verdana" w:hAnsi="Verdana"/>
                <w:b w:val="0"/>
                <w:sz w:val="16"/>
              </w:rPr>
              <w:t>Emisividad</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B69: La emisividad es la relación entre la cantidad de energía emitida desde determinado objeto comparada con la cantidad que habría emitido un cuerpo negro.</w:t>
            </w:r>
          </w:p>
        </w:tc>
      </w:tr>
      <w:tr>
        <w:trPr>
          <w:cantSplit/>
        </w:trPr>
        <w:tc>
          <w:tcPr>
            <w:tcW w:type="dxa" w:w="1514"/>
          </w:tcPr>
          <w:p>
            <w:pPr>
              <w:spacing w:before="20" w:after="20"/>
            </w:pPr>
            <w:r/>
            <w:r>
              <w:rPr>
                <w:rFonts w:ascii="Verdana" w:hAnsi="Verdana"/>
                <w:b w:val="0"/>
                <w:sz w:val="16"/>
              </w:rPr>
              <w:t>0 14 051</w:t>
            </w:r>
          </w:p>
        </w:tc>
        <w:tc>
          <w:tcPr>
            <w:tcW w:type="dxa" w:w="1514"/>
          </w:tcPr>
          <w:p>
            <w:pPr>
              <w:spacing w:before="20" w:after="20"/>
            </w:pPr>
            <w:r/>
            <w:r>
              <w:rPr>
                <w:rFonts w:ascii="Verdana" w:hAnsi="Verdana"/>
                <w:b w:val="0"/>
                <w:sz w:val="16"/>
              </w:rPr>
              <w:t>Radiación solar directa integrada durante la última hora</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0 14 052</w:t>
            </w:r>
          </w:p>
        </w:tc>
        <w:tc>
          <w:tcPr>
            <w:tcW w:type="dxa" w:w="1514"/>
          </w:tcPr>
          <w:p>
            <w:pPr>
              <w:spacing w:before="20" w:after="20"/>
            </w:pPr>
            <w:r/>
            <w:r>
              <w:rPr>
                <w:rFonts w:ascii="Verdana" w:hAnsi="Verdana"/>
                <w:b w:val="0"/>
                <w:sz w:val="16"/>
              </w:rPr>
              <w:t>Radiación solar ascendente mundial, integrada en un período especificado</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-1048574</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0 14 053</w:t>
            </w:r>
          </w:p>
        </w:tc>
        <w:tc>
          <w:tcPr>
            <w:tcW w:type="dxa" w:w="1514"/>
          </w:tcPr>
          <w:p>
            <w:pPr>
              <w:spacing w:before="20" w:after="20"/>
            </w:pPr>
            <w:r/>
            <w:r>
              <w:rPr>
                <w:rFonts w:ascii="Verdana" w:hAnsi="Verdana"/>
                <w:b w:val="0"/>
                <w:sz w:val="16"/>
              </w:rPr>
              <w:t>Radiación neta (gran precisión), integrada en un período especificado</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-1048574</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0 14 054</w:t>
            </w:r>
          </w:p>
        </w:tc>
        <w:tc>
          <w:tcPr>
            <w:tcW w:type="dxa" w:w="1514"/>
          </w:tcPr>
          <w:p>
            <w:pPr>
              <w:spacing w:before="20" w:after="20"/>
            </w:pPr>
            <w:r/>
            <w:r>
              <w:rPr>
                <w:rFonts w:ascii="Verdana" w:hAnsi="Verdana"/>
                <w:b w:val="0"/>
                <w:sz w:val="16"/>
              </w:rPr>
              <w:t>Radiación fotosintéticamente activa, integrada en un período especificado</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0 14 055</w:t>
            </w:r>
          </w:p>
        </w:tc>
        <w:tc>
          <w:tcPr>
            <w:tcW w:type="dxa" w:w="1514"/>
          </w:tcPr>
          <w:p>
            <w:pPr>
              <w:spacing w:before="20" w:after="20"/>
            </w:pPr>
            <w:r/>
            <w:r>
              <w:rPr>
                <w:rFonts w:ascii="Verdana" w:hAnsi="Verdana"/>
                <w:b w:val="0"/>
                <w:sz w:val="16"/>
              </w:rPr>
              <w:t>Índice de actividad solar</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0 14 056</w:t>
            </w:r>
          </w:p>
        </w:tc>
        <w:tc>
          <w:tcPr>
            <w:tcW w:type="dxa" w:w="1514"/>
          </w:tcPr>
          <w:p>
            <w:pPr>
              <w:spacing w:before="20" w:after="20"/>
            </w:pPr>
            <w:r/>
            <w:r>
              <w:rPr>
                <w:rFonts w:ascii="Verdana" w:hAnsi="Verdana"/>
                <w:b w:val="0"/>
                <w:sz w:val="16"/>
              </w:rPr>
              <w:t>Lumicia de fondo</w:t>
            </w:r>
          </w:p>
        </w:tc>
        <w:tc>
          <w:tcPr>
            <w:tcW w:type="dxa" w:w="1514"/>
          </w:tcPr>
          <w:p>
            <w:pPr>
              <w:spacing w:before="20" w:after="20"/>
            </w:pPr>
            <w:r/>
            <w:r>
              <w:rPr>
                <w:rFonts w:ascii="Verdana" w:hAnsi="Verdana"/>
                <w:sz w:val="16"/>
              </w:rPr>
              <w:t>Cd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Cd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0 14 057</w:t>
            </w:r>
          </w:p>
        </w:tc>
        <w:tc>
          <w:tcPr>
            <w:tcW w:type="dxa" w:w="1514"/>
          </w:tcPr>
          <w:p>
            <w:pPr>
              <w:spacing w:before="20" w:after="20"/>
            </w:pPr>
            <w:r/>
            <w:r>
              <w:rPr>
                <w:rFonts w:ascii="Verdana" w:hAnsi="Verdana"/>
                <w:b w:val="0"/>
                <w:sz w:val="16"/>
              </w:rPr>
              <w:t>Flujo de calor del suelo</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-1048574</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0 14 072</w:t>
            </w:r>
          </w:p>
        </w:tc>
        <w:tc>
          <w:tcPr>
            <w:tcW w:type="dxa" w:w="1514"/>
          </w:tcPr>
          <w:p>
            <w:pPr>
              <w:spacing w:before="20" w:after="20"/>
            </w:pPr>
            <w:r/>
            <w:r>
              <w:rPr>
                <w:rFonts w:ascii="Verdana" w:hAnsi="Verdana"/>
                <w:b w:val="0"/>
                <w:sz w:val="16"/>
              </w:rPr>
              <w:t>Irradiación UV mundial</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-4000000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Jm-2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Note B83: La irradiación UV mundial (0 14 072) es energía UV integrada en un período especificado y para una banda espectral especificada. El descriptor 0 14 072 irá precedido de un descriptor del período de tiempo, de la longitud de onda espectrográfica (0 02 071) y la anchura espectrográfica (0 02 072). Por ejemplo, si se utiliza 0 14 072 para la irradiación UV-B mundial, 0 02 071 y 0 02 072 especificarán una banda espectral comprendida entre 280 y 315 nm.</w:t>
            </w:r>
          </w:p>
        </w:tc>
      </w:tr>
    </w:tbl>
    <w:p/>
    <w:p>
      <w:r>
        <w:rPr>
          <w:rFonts w:ascii="Verdana" w:hAnsi="Verdana"/>
          <w:i/>
          <w:sz w:val="14"/>
        </w:rPr>
        <w:t>Note B63: Se asignarán valores positivos a la radiación descendente.</w:t>
      </w:r>
    </w:p>
    <w:p>
      <w:r>
        <w:rPr>
          <w:rFonts w:ascii="Verdana" w:hAnsi="Verdana"/>
          <w:i/>
          <w:sz w:val="14"/>
        </w:rPr>
        <w:t>Note B160: Se asignarán valores negativos a la radiación ascendente.</w:t>
      </w:r>
    </w:p>
    <w:p>
      <w:r>
        <w:rPr>
          <w:rFonts w:ascii="Verdana" w:hAnsi="Verdana"/>
          <w:i/>
          <w:sz w:val="14"/>
        </w:rPr>
        <w:t>Note B178: Cuando se indique la expresión “período determinado” en la columna “nombre del elemento”, deberá indicarse el período correspondiente, utilizando referencias de la Clase 04.</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