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14 : Rayonnement et luminance énergétique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0 14 001</w:t>
            </w:r>
          </w:p>
        </w:tc>
        <w:tc>
          <w:tcPr>
            <w:tcW w:type="dxa" w:w="1514"/>
          </w:tcPr>
          <w:p>
            <w:pPr>
              <w:spacing w:before="20" w:after="20"/>
            </w:pPr>
            <w:r/>
            <w:r>
              <w:rPr>
                <w:rFonts w:ascii="Verdana" w:hAnsi="Verdana"/>
                <w:b w:val="0"/>
                <w:sz w:val="16"/>
              </w:rPr>
              <w:t>Rayonnement de grande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0 14 002</w:t>
            </w:r>
          </w:p>
        </w:tc>
        <w:tc>
          <w:tcPr>
            <w:tcW w:type="dxa" w:w="1514"/>
          </w:tcPr>
          <w:p>
            <w:pPr>
              <w:spacing w:before="20" w:after="20"/>
            </w:pPr>
            <w:r/>
            <w:r>
              <w:rPr>
                <w:rFonts w:ascii="Verdana" w:hAnsi="Verdana"/>
                <w:b w:val="0"/>
                <w:sz w:val="16"/>
              </w:rPr>
              <w:t>Rayonnement de grande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0 14 003</w:t>
            </w:r>
          </w:p>
        </w:tc>
        <w:tc>
          <w:tcPr>
            <w:tcW w:type="dxa" w:w="1514"/>
          </w:tcPr>
          <w:p>
            <w:pPr>
              <w:spacing w:before="20" w:after="20"/>
            </w:pPr>
            <w:r/>
            <w:r>
              <w:rPr>
                <w:rFonts w:ascii="Verdana" w:hAnsi="Verdana"/>
                <w:b w:val="0"/>
                <w:sz w:val="16"/>
              </w:rPr>
              <w:t>Rayonnement de courte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0 14 004</w:t>
            </w:r>
          </w:p>
        </w:tc>
        <w:tc>
          <w:tcPr>
            <w:tcW w:type="dxa" w:w="1514"/>
          </w:tcPr>
          <w:p>
            <w:pPr>
              <w:spacing w:before="20" w:after="20"/>
            </w:pPr>
            <w:r/>
            <w:r>
              <w:rPr>
                <w:rFonts w:ascii="Verdana" w:hAnsi="Verdana"/>
                <w:b w:val="0"/>
                <w:sz w:val="16"/>
              </w:rPr>
              <w:t>Rayonnement de courte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0 14 011</w:t>
            </w:r>
          </w:p>
        </w:tc>
        <w:tc>
          <w:tcPr>
            <w:tcW w:type="dxa" w:w="1514"/>
          </w:tcPr>
          <w:p>
            <w:pPr>
              <w:spacing w:before="20" w:after="20"/>
            </w:pPr>
            <w:r/>
            <w:r>
              <w:rPr>
                <w:rFonts w:ascii="Verdana" w:hAnsi="Verdana"/>
                <w:b w:val="0"/>
                <w:sz w:val="16"/>
              </w:rPr>
              <w:t>Bilan du rayonnement de grande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0 14 012</w:t>
            </w:r>
          </w:p>
        </w:tc>
        <w:tc>
          <w:tcPr>
            <w:tcW w:type="dxa" w:w="1514"/>
          </w:tcPr>
          <w:p>
            <w:pPr>
              <w:spacing w:before="20" w:after="20"/>
            </w:pPr>
            <w:r/>
            <w:r>
              <w:rPr>
                <w:rFonts w:ascii="Verdana" w:hAnsi="Verdana"/>
                <w:b w:val="0"/>
                <w:sz w:val="16"/>
              </w:rPr>
              <w:t>Bilan du rayonnement de grande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0 14 013</w:t>
            </w:r>
          </w:p>
        </w:tc>
        <w:tc>
          <w:tcPr>
            <w:tcW w:type="dxa" w:w="1514"/>
          </w:tcPr>
          <w:p>
            <w:pPr>
              <w:spacing w:before="20" w:after="20"/>
            </w:pPr>
            <w:r/>
            <w:r>
              <w:rPr>
                <w:rFonts w:ascii="Verdana" w:hAnsi="Verdana"/>
                <w:b w:val="0"/>
                <w:sz w:val="16"/>
              </w:rPr>
              <w:t>Bilan du rayonnement de courte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0 14 014</w:t>
            </w:r>
          </w:p>
        </w:tc>
        <w:tc>
          <w:tcPr>
            <w:tcW w:type="dxa" w:w="1514"/>
          </w:tcPr>
          <w:p>
            <w:pPr>
              <w:spacing w:before="20" w:after="20"/>
            </w:pPr>
            <w:r/>
            <w:r>
              <w:rPr>
                <w:rFonts w:ascii="Verdana" w:hAnsi="Verdana"/>
                <w:b w:val="0"/>
                <w:sz w:val="16"/>
              </w:rPr>
              <w:t>Bilan du rayonnement de courte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0 14 015</w:t>
            </w:r>
          </w:p>
        </w:tc>
        <w:tc>
          <w:tcPr>
            <w:tcW w:type="dxa" w:w="1514"/>
          </w:tcPr>
          <w:p>
            <w:pPr>
              <w:spacing w:before="20" w:after="20"/>
            </w:pPr>
            <w:r/>
            <w:r>
              <w:rPr>
                <w:rFonts w:ascii="Verdana" w:hAnsi="Verdana"/>
                <w:b w:val="0"/>
                <w:sz w:val="16"/>
              </w:rPr>
              <w:t>Bilan du rayonnement,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0 14 016</w:t>
            </w:r>
          </w:p>
        </w:tc>
        <w:tc>
          <w:tcPr>
            <w:tcW w:type="dxa" w:w="1514"/>
          </w:tcPr>
          <w:p>
            <w:pPr>
              <w:spacing w:before="20" w:after="20"/>
            </w:pPr>
            <w:r/>
            <w:r>
              <w:rPr>
                <w:rFonts w:ascii="Verdana" w:hAnsi="Verdana"/>
                <w:b w:val="0"/>
                <w:sz w:val="16"/>
              </w:rPr>
              <w:t>Bilan du rayonnement,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0 14 017</w:t>
            </w:r>
          </w:p>
        </w:tc>
        <w:tc>
          <w:tcPr>
            <w:tcW w:type="dxa" w:w="1514"/>
          </w:tcPr>
          <w:p>
            <w:pPr>
              <w:spacing w:before="20" w:after="20"/>
            </w:pPr>
            <w:r/>
            <w:r>
              <w:rPr>
                <w:rFonts w:ascii="Verdana" w:hAnsi="Verdana"/>
                <w:b w:val="0"/>
                <w:sz w:val="16"/>
              </w:rPr>
              <w:t>Rayonnement instantané de grande longueur d'onde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0 14 018</w:t>
            </w:r>
          </w:p>
        </w:tc>
        <w:tc>
          <w:tcPr>
            <w:tcW w:type="dxa" w:w="1514"/>
          </w:tcPr>
          <w:p>
            <w:pPr>
              <w:spacing w:before="20" w:after="20"/>
            </w:pPr>
            <w:r/>
            <w:r>
              <w:rPr>
                <w:rFonts w:ascii="Verdana" w:hAnsi="Verdana"/>
                <w:b w:val="0"/>
                <w:sz w:val="16"/>
              </w:rPr>
              <w:t>Rayonnement instantané de courte longueur d'onde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0 14 019</w:t>
            </w:r>
          </w:p>
        </w:tc>
        <w:tc>
          <w:tcPr>
            <w:tcW w:type="dxa" w:w="1514"/>
          </w:tcPr>
          <w:p>
            <w:pPr>
              <w:spacing w:before="20" w:after="20"/>
            </w:pPr>
            <w:r/>
            <w:r>
              <w:rPr>
                <w:rFonts w:ascii="Verdana" w:hAnsi="Verdana"/>
                <w:b w:val="0"/>
                <w:sz w:val="16"/>
              </w:rPr>
              <w:t>Albédo de la surface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0 14 020</w:t>
            </w:r>
          </w:p>
        </w:tc>
        <w:tc>
          <w:tcPr>
            <w:tcW w:type="dxa" w:w="1514"/>
          </w:tcPr>
          <w:p>
            <w:pPr>
              <w:spacing w:before="20" w:after="20"/>
            </w:pPr>
            <w:r/>
            <w:r>
              <w:rPr>
                <w:rFonts w:ascii="Verdana" w:hAnsi="Verdana"/>
                <w:b w:val="0"/>
                <w:sz w:val="16"/>
              </w:rPr>
              <w:t>Rayonnement solaire global,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0 14 021</w:t>
            </w:r>
          </w:p>
        </w:tc>
        <w:tc>
          <w:tcPr>
            <w:tcW w:type="dxa" w:w="1514"/>
          </w:tcPr>
          <w:p>
            <w:pPr>
              <w:spacing w:before="20" w:after="20"/>
            </w:pPr>
            <w:r/>
            <w:r>
              <w:rPr>
                <w:rFonts w:ascii="Verdana" w:hAnsi="Verdana"/>
                <w:b w:val="0"/>
                <w:sz w:val="16"/>
              </w:rPr>
              <w:t>Rayonnement solaire global,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0 14 022</w:t>
            </w:r>
          </w:p>
        </w:tc>
        <w:tc>
          <w:tcPr>
            <w:tcW w:type="dxa" w:w="1514"/>
          </w:tcPr>
          <w:p>
            <w:pPr>
              <w:spacing w:before="20" w:after="20"/>
            </w:pPr>
            <w:r/>
            <w:r>
              <w:rPr>
                <w:rFonts w:ascii="Verdana" w:hAnsi="Verdana"/>
                <w:b w:val="0"/>
                <w:sz w:val="16"/>
              </w:rPr>
              <w:t>Rayonnement solaire diffus,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0 14 023</w:t>
            </w:r>
          </w:p>
        </w:tc>
        <w:tc>
          <w:tcPr>
            <w:tcW w:type="dxa" w:w="1514"/>
          </w:tcPr>
          <w:p>
            <w:pPr>
              <w:spacing w:before="20" w:after="20"/>
            </w:pPr>
            <w:r/>
            <w:r>
              <w:rPr>
                <w:rFonts w:ascii="Verdana" w:hAnsi="Verdana"/>
                <w:b w:val="0"/>
                <w:sz w:val="16"/>
              </w:rPr>
              <w:t>Rayonnement solaire diffus,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0 14 024</w:t>
            </w:r>
          </w:p>
        </w:tc>
        <w:tc>
          <w:tcPr>
            <w:tcW w:type="dxa" w:w="1514"/>
          </w:tcPr>
          <w:p>
            <w:pPr>
              <w:spacing w:before="20" w:after="20"/>
            </w:pPr>
            <w:r/>
            <w:r>
              <w:rPr>
                <w:rFonts w:ascii="Verdana" w:hAnsi="Verdana"/>
                <w:b w:val="0"/>
                <w:sz w:val="16"/>
              </w:rPr>
              <w:t>Rayonnement solaire direct,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0 14 025</w:t>
            </w:r>
          </w:p>
        </w:tc>
        <w:tc>
          <w:tcPr>
            <w:tcW w:type="dxa" w:w="1514"/>
          </w:tcPr>
          <w:p>
            <w:pPr>
              <w:spacing w:before="20" w:after="20"/>
            </w:pPr>
            <w:r/>
            <w:r>
              <w:rPr>
                <w:rFonts w:ascii="Verdana" w:hAnsi="Verdana"/>
                <w:b w:val="0"/>
                <w:sz w:val="16"/>
              </w:rPr>
              <w:t>Rayonnement solaire direct,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0 14 026</w:t>
            </w:r>
          </w:p>
        </w:tc>
        <w:tc>
          <w:tcPr>
            <w:tcW w:type="dxa" w:w="1514"/>
          </w:tcPr>
          <w:p>
            <w:pPr>
              <w:spacing w:before="20" w:after="20"/>
            </w:pPr>
            <w:r/>
            <w:r>
              <w:rPr>
                <w:rFonts w:ascii="Verdana" w:hAnsi="Verdana"/>
                <w:b w:val="0"/>
                <w:sz w:val="16"/>
              </w:rPr>
              <w:t>Albédo au sommet des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0 14 027</w:t>
            </w:r>
          </w:p>
        </w:tc>
        <w:tc>
          <w:tcPr>
            <w:tcW w:type="dxa" w:w="1514"/>
          </w:tcPr>
          <w:p>
            <w:pPr>
              <w:spacing w:before="20" w:after="20"/>
            </w:pPr>
            <w:r/>
            <w:r>
              <w:rPr>
                <w:rFonts w:ascii="Verdana" w:hAnsi="Verdana"/>
                <w:b w:val="0"/>
                <w:sz w:val="16"/>
              </w:rPr>
              <w:t>Albédo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0 14 028</w:t>
            </w:r>
          </w:p>
        </w:tc>
        <w:tc>
          <w:tcPr>
            <w:tcW w:type="dxa" w:w="1514"/>
          </w:tcPr>
          <w:p>
            <w:pPr>
              <w:spacing w:before="20" w:after="20"/>
            </w:pPr>
            <w:r/>
            <w:r>
              <w:rPr>
                <w:rFonts w:ascii="Verdana" w:hAnsi="Verdana"/>
                <w:b w:val="0"/>
                <w:sz w:val="16"/>
              </w:rPr>
              <w:t>Rayonnement solaire global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0 14 029</w:t>
            </w:r>
          </w:p>
        </w:tc>
        <w:tc>
          <w:tcPr>
            <w:tcW w:type="dxa" w:w="1514"/>
          </w:tcPr>
          <w:p>
            <w:pPr>
              <w:spacing w:before="20" w:after="20"/>
            </w:pPr>
            <w:r/>
            <w:r>
              <w:rPr>
                <w:rFonts w:ascii="Verdana" w:hAnsi="Verdana"/>
                <w:b w:val="0"/>
                <w:sz w:val="16"/>
              </w:rPr>
              <w:t>Rayonnement solaire diffus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0 14 030</w:t>
            </w:r>
          </w:p>
        </w:tc>
        <w:tc>
          <w:tcPr>
            <w:tcW w:type="dxa" w:w="1514"/>
          </w:tcPr>
          <w:p>
            <w:pPr>
              <w:spacing w:before="20" w:after="20"/>
            </w:pPr>
            <w:r/>
            <w:r>
              <w:rPr>
                <w:rFonts w:ascii="Verdana" w:hAnsi="Verdana"/>
                <w:b w:val="0"/>
                <w:sz w:val="16"/>
              </w:rPr>
              <w:t>Rayonnement solaire direct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0 14 031</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0 14 032</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0 14 033</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0 14 034</w:t>
            </w:r>
          </w:p>
        </w:tc>
        <w:tc>
          <w:tcPr>
            <w:tcW w:type="dxa" w:w="1514"/>
          </w:tcPr>
          <w:p>
            <w:pPr>
              <w:spacing w:before="20" w:after="20"/>
            </w:pPr>
            <w:r/>
            <w:r>
              <w:rPr>
                <w:rFonts w:ascii="Verdana" w:hAnsi="Verdana"/>
                <w:b w:val="0"/>
                <w:sz w:val="16"/>
              </w:rPr>
              <w:t>Insolation sur une période déterminée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0 14 035</w:t>
            </w:r>
          </w:p>
        </w:tc>
        <w:tc>
          <w:tcPr>
            <w:tcW w:type="dxa" w:w="1514"/>
          </w:tcPr>
          <w:p>
            <w:pPr>
              <w:spacing w:before="20" w:after="20"/>
            </w:pPr>
            <w:r/>
            <w:r>
              <w:rPr>
                <w:rFonts w:ascii="Verdana" w:hAnsi="Verdana"/>
                <w:b w:val="0"/>
                <w:sz w:val="16"/>
              </w:rPr>
              <w:t>Flux de rayonnement solaire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0 14 042</w:t>
            </w:r>
          </w:p>
        </w:tc>
        <w:tc>
          <w:tcPr>
            <w:tcW w:type="dxa" w:w="1514"/>
          </w:tcPr>
          <w:p>
            <w:pPr>
              <w:spacing w:before="20" w:after="20"/>
            </w:pPr>
            <w:r/>
            <w:r>
              <w:rPr>
                <w:rFonts w:ascii="Verdana" w:hAnsi="Verdana"/>
                <w:b w:val="0"/>
                <w:sz w:val="16"/>
              </w:rPr>
              <w:t>Facteur de réflexion bidirectionnelle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0 14 043</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B35: Pour la luminance énergétique dans le canal (0 14 043), on utilise les μm pour représenter le nombre d’onde.</w:t>
            </w:r>
          </w:p>
        </w:tc>
      </w:tr>
      <w:tr>
        <w:trPr>
          <w:cantSplit/>
        </w:trPr>
        <w:tc>
          <w:tcPr>
            <w:tcW w:type="dxa" w:w="1514"/>
          </w:tcPr>
          <w:p>
            <w:pPr>
              <w:spacing w:before="20" w:after="20"/>
            </w:pPr>
            <w:r/>
            <w:r>
              <w:rPr>
                <w:rFonts w:ascii="Verdana" w:hAnsi="Verdana"/>
                <w:b w:val="0"/>
                <w:sz w:val="16"/>
              </w:rPr>
              <w:t>0 14 044</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0 14 045</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B36: Pour la luminance énergétique dans le canal (0 14 045), on utilise les cm pour représenter le nombre d’onde.</w:t>
            </w:r>
          </w:p>
        </w:tc>
      </w:tr>
      <w:tr>
        <w:trPr>
          <w:cantSplit/>
        </w:trPr>
        <w:tc>
          <w:tcPr>
            <w:tcW w:type="dxa" w:w="1514"/>
          </w:tcPr>
          <w:p>
            <w:pPr>
              <w:spacing w:before="20" w:after="20"/>
            </w:pPr>
            <w:r/>
            <w:r>
              <w:rPr>
                <w:rFonts w:ascii="Verdana" w:hAnsi="Verdana"/>
                <w:b w:val="0"/>
                <w:sz w:val="16"/>
              </w:rPr>
              <w:t>0 14 046</w:t>
            </w:r>
          </w:p>
        </w:tc>
        <w:tc>
          <w:tcPr>
            <w:tcW w:type="dxa" w:w="1514"/>
          </w:tcPr>
          <w:p>
            <w:pPr>
              <w:spacing w:before="20" w:after="20"/>
            </w:pPr>
            <w:r/>
            <w:r>
              <w:rPr>
                <w:rFonts w:ascii="Verdana" w:hAnsi="Verdana"/>
                <w:b w:val="0"/>
                <w:sz w:val="16"/>
              </w:rPr>
              <w:t>Luminance énergétique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B29: La luminance énergétique mise à l’échelle (0 14 046) a été ajustée pour tenir compte des valeurs négatives qui peuvent être obtenues pour certains nombres d’ondes, soit sous l’effet du bruit soit par suite de l’apodisation. L’ajustement correspond à un ordre de grandeur plus important que l’excursion négative maximale escomptée en fonction du bruit de l’instrument, ce qui devrait laisser une marge suffisante, sans dégradation significative de la dynamique par ailleurs.</w:t>
            </w:r>
          </w:p>
        </w:tc>
      </w:tr>
      <w:tr>
        <w:trPr>
          <w:cantSplit/>
        </w:trPr>
        <w:tc>
          <w:tcPr>
            <w:tcW w:type="dxa" w:w="1514"/>
          </w:tcPr>
          <w:p>
            <w:pPr>
              <w:spacing w:before="20" w:after="20"/>
            </w:pPr>
            <w:r/>
            <w:r>
              <w:rPr>
                <w:rFonts w:ascii="Verdana" w:hAnsi="Verdana"/>
                <w:b w:val="0"/>
                <w:sz w:val="16"/>
              </w:rPr>
              <w:t>0 14 047</w:t>
            </w:r>
          </w:p>
        </w:tc>
        <w:tc>
          <w:tcPr>
            <w:tcW w:type="dxa" w:w="1514"/>
          </w:tcPr>
          <w:p>
            <w:pPr>
              <w:spacing w:before="20" w:after="20"/>
            </w:pPr>
            <w:r/>
            <w:r>
              <w:rPr>
                <w:rFonts w:ascii="Verdana" w:hAnsi="Verdana"/>
                <w:b w:val="0"/>
                <w:sz w:val="16"/>
              </w:rPr>
              <w:t>Luminance moyenne AVHRR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0 14 048</w:t>
            </w:r>
          </w:p>
        </w:tc>
        <w:tc>
          <w:tcPr>
            <w:tcW w:type="dxa" w:w="1514"/>
          </w:tcPr>
          <w:p>
            <w:pPr>
              <w:spacing w:before="20" w:after="20"/>
            </w:pPr>
            <w:r/>
            <w:r>
              <w:rPr>
                <w:rFonts w:ascii="Verdana" w:hAnsi="Verdana"/>
                <w:b w:val="0"/>
                <w:sz w:val="16"/>
              </w:rPr>
              <w:t>Écart type de la luminance AVHRR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0 14 050</w:t>
            </w:r>
          </w:p>
        </w:tc>
        <w:tc>
          <w:tcPr>
            <w:tcW w:type="dxa" w:w="1514"/>
          </w:tcPr>
          <w:p>
            <w:pPr>
              <w:spacing w:before="20" w:after="20"/>
            </w:pPr>
            <w:r/>
            <w:r>
              <w:rPr>
                <w:rFonts w:ascii="Verdana" w:hAnsi="Verdana"/>
                <w:b w:val="0"/>
                <w:sz w:val="16"/>
              </w:rPr>
              <w:t>Émissivité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B69: L’émissivité est le rapport de la quantité d’énergie émise par un corps, à la quantité d’énergie émise par un corps noir rayonnant à la même température (voir la loi de Planck). Multiplier la valeur de l’émissivité par 100 permet d’exprimer un pourcentage et fournit en outre une précision supplémentaire de deux chiffres.</w:t>
            </w:r>
          </w:p>
        </w:tc>
      </w:tr>
      <w:tr>
        <w:trPr>
          <w:cantSplit/>
        </w:trPr>
        <w:tc>
          <w:tcPr>
            <w:tcW w:type="dxa" w:w="1514"/>
          </w:tcPr>
          <w:p>
            <w:pPr>
              <w:spacing w:before="20" w:after="20"/>
            </w:pPr>
            <w:r/>
            <w:r>
              <w:rPr>
                <w:rFonts w:ascii="Verdana" w:hAnsi="Verdana"/>
                <w:b w:val="0"/>
                <w:sz w:val="16"/>
              </w:rPr>
              <w:t>0 14 051</w:t>
            </w:r>
          </w:p>
        </w:tc>
        <w:tc>
          <w:tcPr>
            <w:tcW w:type="dxa" w:w="1514"/>
          </w:tcPr>
          <w:p>
            <w:pPr>
              <w:spacing w:before="20" w:after="20"/>
            </w:pPr>
            <w:r/>
            <w:r>
              <w:rPr>
                <w:rFonts w:ascii="Verdana" w:hAnsi="Verdana"/>
                <w:b w:val="0"/>
                <w:sz w:val="16"/>
              </w:rPr>
              <w:t>Rayonnement solaire direct, intégré au cours de la dernière heure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0 14 052</w:t>
            </w:r>
          </w:p>
        </w:tc>
        <w:tc>
          <w:tcPr>
            <w:tcW w:type="dxa" w:w="1514"/>
          </w:tcPr>
          <w:p>
            <w:pPr>
              <w:spacing w:before="20" w:after="20"/>
            </w:pPr>
            <w:r/>
            <w:r>
              <w:rPr>
                <w:rFonts w:ascii="Verdana" w:hAnsi="Verdana"/>
                <w:b w:val="0"/>
                <w:sz w:val="16"/>
              </w:rPr>
              <w:t>Rayonnement solaire global ascendant,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0 14 053</w:t>
            </w:r>
          </w:p>
        </w:tc>
        <w:tc>
          <w:tcPr>
            <w:tcW w:type="dxa" w:w="1514"/>
          </w:tcPr>
          <w:p>
            <w:pPr>
              <w:spacing w:before="20" w:after="20"/>
            </w:pPr>
            <w:r/>
            <w:r>
              <w:rPr>
                <w:rFonts w:ascii="Verdana" w:hAnsi="Verdana"/>
                <w:b w:val="0"/>
                <w:sz w:val="16"/>
              </w:rPr>
              <w:t>Bilan du rayonnement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0 14 054</w:t>
            </w:r>
          </w:p>
        </w:tc>
        <w:tc>
          <w:tcPr>
            <w:tcW w:type="dxa" w:w="1514"/>
          </w:tcPr>
          <w:p>
            <w:pPr>
              <w:spacing w:before="20" w:after="20"/>
            </w:pPr>
            <w:r/>
            <w:r>
              <w:rPr>
                <w:rFonts w:ascii="Verdana" w:hAnsi="Verdana"/>
                <w:b w:val="0"/>
                <w:sz w:val="16"/>
              </w:rPr>
              <w:t>Rayonnement photosynthétiquement actif,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0 14 055</w:t>
            </w:r>
          </w:p>
        </w:tc>
        <w:tc>
          <w:tcPr>
            <w:tcW w:type="dxa" w:w="1514"/>
          </w:tcPr>
          <w:p>
            <w:pPr>
              <w:spacing w:before="20" w:after="20"/>
            </w:pPr>
            <w:r/>
            <w:r>
              <w:rPr>
                <w:rFonts w:ascii="Verdana" w:hAnsi="Verdana"/>
                <w:b w:val="0"/>
                <w:sz w:val="16"/>
              </w:rPr>
              <w:t>Indice de l'activité solaire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0 14 056</w:t>
            </w:r>
          </w:p>
        </w:tc>
        <w:tc>
          <w:tcPr>
            <w:tcW w:type="dxa" w:w="1514"/>
          </w:tcPr>
          <w:p>
            <w:pPr>
              <w:spacing w:before="20" w:after="20"/>
            </w:pPr>
            <w:r/>
            <w:r>
              <w:rPr>
                <w:rFonts w:ascii="Verdana" w:hAnsi="Verdana"/>
                <w:b w:val="0"/>
                <w:sz w:val="16"/>
              </w:rPr>
              <w:t>Luminance de fond</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0 14 057</w:t>
            </w:r>
          </w:p>
        </w:tc>
        <w:tc>
          <w:tcPr>
            <w:tcW w:type="dxa" w:w="1514"/>
          </w:tcPr>
          <w:p>
            <w:pPr>
              <w:spacing w:before="20" w:after="20"/>
            </w:pPr>
            <w:r/>
            <w:r>
              <w:rPr>
                <w:rFonts w:ascii="Verdana" w:hAnsi="Verdana"/>
                <w:b w:val="0"/>
                <w:sz w:val="16"/>
              </w:rPr>
              <w:t>Flux de chaleur du sol</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0 14 072</w:t>
            </w:r>
          </w:p>
        </w:tc>
        <w:tc>
          <w:tcPr>
            <w:tcW w:type="dxa" w:w="1514"/>
          </w:tcPr>
          <w:p>
            <w:pPr>
              <w:spacing w:before="20" w:after="20"/>
            </w:pPr>
            <w:r/>
            <w:r>
              <w:rPr>
                <w:rFonts w:ascii="Verdana" w:hAnsi="Verdana"/>
                <w:b w:val="0"/>
                <w:sz w:val="16"/>
              </w:rPr>
              <w:t>Rayonnement ultraviolet global</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B83: Le rayonnement ultraviolet global (0 14 072) correspond à l’énergie reçue sous forme de lumière ultraviolette, intégrée sur une période déterminée dans une bande spectrale donnée. 0 14 072 est précédé d’un descripteur de période ainsi que de la longueur d’onde spectrographique (0 02 071) et de la largeur spectrographique (0 02 072). Par exemple, quand 0 14 072 est utilisé pour indiquer le rayonnement ultraviolet global, 0 02 071 et 0 02 072 précisent la bande spectrale de 280 à 315 nm.</w:t>
            </w:r>
          </w:p>
        </w:tc>
      </w:tr>
    </w:tbl>
    <w:p/>
    <w:p>
      <w:r>
        <w:rPr>
          <w:rFonts w:ascii="Verdana" w:hAnsi="Verdana"/>
          <w:i/>
          <w:sz w:val="14"/>
        </w:rPr>
        <w:t>Note B63: Le rayonnement descendant est indiqué par des valeurs positives.</w:t>
      </w:r>
    </w:p>
    <w:p>
      <w:r>
        <w:rPr>
          <w:rFonts w:ascii="Verdana" w:hAnsi="Verdana"/>
          <w:i/>
          <w:sz w:val="14"/>
        </w:rPr>
        <w:t>Note B160: Le rayonnement ascendant est indiqué par des valeurs négatives.</w:t>
      </w:r>
    </w:p>
    <w:p>
      <w:r>
        <w:rPr>
          <w:rFonts w:ascii="Verdana" w:hAnsi="Verdana"/>
          <w:i/>
          <w:sz w:val="14"/>
        </w:rPr>
        <w:t>Note B178: Lorsque la colonne Nom de l’élément porte la mention «sur une période déterminée», on précise, à l’aide de descripteurs de la classe 04, la période considérée.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