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15 : Constituants physiques/chimiques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0 15 001</w:t>
            </w:r>
          </w:p>
        </w:tc>
        <w:tc>
          <w:tcPr>
            <w:tcW w:type="dxa" w:w="1514"/>
          </w:tcPr>
          <w:p>
            <w:pPr>
              <w:spacing w:before="20" w:after="20"/>
            </w:pPr>
            <w:r/>
            <w:r>
              <w:rPr>
                <w:rFonts w:ascii="Verdana" w:hAnsi="Verdana"/>
                <w:b w:val="0"/>
                <w:sz w:val="16"/>
              </w:rPr>
              <w:t>Ozone total</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0 15 002</w:t>
            </w:r>
          </w:p>
        </w:tc>
        <w:tc>
          <w:tcPr>
            <w:tcW w:type="dxa" w:w="1514"/>
          </w:tcPr>
          <w:p>
            <w:pPr>
              <w:spacing w:before="20" w:after="20"/>
            </w:pPr>
            <w:r/>
            <w:r>
              <w:rPr>
                <w:rFonts w:ascii="Verdana" w:hAnsi="Verdana"/>
                <w:b w:val="0"/>
                <w:sz w:val="16"/>
              </w:rPr>
              <w:t>Masse d'air (correspondant à une trajectoire oblique à une altitude de 22 km)</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0 15 003</w:t>
            </w:r>
          </w:p>
        </w:tc>
        <w:tc>
          <w:tcPr>
            <w:tcW w:type="dxa" w:w="1514"/>
          </w:tcPr>
          <w:p>
            <w:pPr>
              <w:spacing w:before="20" w:after="20"/>
            </w:pPr>
            <w:r/>
            <w:r>
              <w:rPr>
                <w:rFonts w:ascii="Verdana" w:hAnsi="Verdana"/>
                <w:b w:val="0"/>
                <w:sz w:val="16"/>
              </w:rPr>
              <w:t>Pression partielle de l'ozone mesuré (sondage)</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nbar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 Le descripteur 0 15 003 indique la pression partielle de l’ozone, mesurée au niveau de pression défini par le descripteur 0 07 004.</w:t>
            </w:r>
          </w:p>
        </w:tc>
      </w:tr>
      <w:tr>
        <w:trPr>
          <w:cantSplit/>
        </w:trPr>
        <w:tc>
          <w:tcPr>
            <w:tcW w:type="dxa" w:w="1514"/>
          </w:tcPr>
          <w:p>
            <w:pPr>
              <w:spacing w:before="20" w:after="20"/>
            </w:pPr>
            <w:r/>
            <w:r>
              <w:rPr>
                <w:rFonts w:ascii="Verdana" w:hAnsi="Verdana"/>
                <w:b w:val="0"/>
                <w:sz w:val="16"/>
              </w:rPr>
              <w:t>0 15 004</w:t>
            </w:r>
          </w:p>
        </w:tc>
        <w:tc>
          <w:tcPr>
            <w:tcW w:type="dxa" w:w="1514"/>
          </w:tcPr>
          <w:p>
            <w:pPr>
              <w:spacing w:before="20" w:after="20"/>
            </w:pPr>
            <w:r/>
            <w:r>
              <w:rPr>
                <w:rFonts w:ascii="Verdana" w:hAnsi="Verdana"/>
                <w:b w:val="0"/>
                <w:sz w:val="16"/>
              </w:rPr>
              <w:t>Facteur de correction du sondage de l'ozone (CF)</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B2: Le descripteur 0 15 004 (CF) se définit ainsi: CF = TOI/TOS où TOI est la valeur intégrée de l’ozone obtenue “en même temps qu’un sondage” effectué par un spectrophotomètre Dobson ou Brewer sur le site ou «à proximité» et où TOS est l’ozone total obtenu par le sondage. TOS est la somme de l’ozone intégré au-dessous du niveau le plus bas de pression obtenu par le sondage et de l’évaluation de la quantité ci-dessus. En l’absence de toute mesure par spectrophotomètre, CF = valeur manquante.</w:t>
            </w:r>
          </w:p>
        </w:tc>
      </w:tr>
      <w:tr>
        <w:trPr>
          <w:cantSplit/>
        </w:trPr>
        <w:tc>
          <w:tcPr>
            <w:tcW w:type="dxa" w:w="1514"/>
          </w:tcPr>
          <w:p>
            <w:pPr>
              <w:spacing w:before="20" w:after="20"/>
            </w:pPr>
            <w:r/>
            <w:r>
              <w:rPr>
                <w:rFonts w:ascii="Verdana" w:hAnsi="Verdana"/>
                <w:b w:val="0"/>
                <w:sz w:val="16"/>
              </w:rPr>
              <w:t>0 15 005</w:t>
            </w:r>
          </w:p>
        </w:tc>
        <w:tc>
          <w:tcPr>
            <w:tcW w:type="dxa" w:w="1514"/>
          </w:tcPr>
          <w:p>
            <w:pPr>
              <w:spacing w:before="20" w:after="20"/>
            </w:pPr>
            <w:r/>
            <w:r>
              <w:rPr>
                <w:rFonts w:ascii="Verdana" w:hAnsi="Verdana"/>
                <w:b w:val="0"/>
                <w:sz w:val="16"/>
              </w:rPr>
              <w:t>Pression partielle de l'ozone</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B3: Le descripteur 0 15 005 est la valeur obtenue par suite de l’intégration verticale des valeurs de sondage (0 15 003) mesurées au-dessous du niveau le plus bas de pression obtenue par la sonde, multipliées par 0 15 004.</w:t>
            </w:r>
          </w:p>
        </w:tc>
      </w:tr>
      <w:tr>
        <w:trPr>
          <w:cantSplit/>
        </w:trPr>
        <w:tc>
          <w:tcPr>
            <w:tcW w:type="dxa" w:w="1514"/>
          </w:tcPr>
          <w:p>
            <w:pPr>
              <w:spacing w:before="20" w:after="20"/>
            </w:pPr>
            <w:r/>
            <w:r>
              <w:rPr>
                <w:rFonts w:ascii="Verdana" w:hAnsi="Verdana"/>
                <w:b w:val="0"/>
                <w:sz w:val="16"/>
              </w:rPr>
              <w:t>0 15 006</w:t>
            </w:r>
          </w:p>
        </w:tc>
        <w:tc>
          <w:tcPr>
            <w:tcW w:type="dxa" w:w="1514"/>
          </w:tcPr>
          <w:p>
            <w:pPr>
              <w:spacing w:before="20" w:after="20"/>
            </w:pPr>
            <w:r/>
            <w:r>
              <w:rPr>
                <w:rFonts w:ascii="Verdana" w:hAnsi="Verdana"/>
                <w:b w:val="0"/>
                <w:sz w:val="16"/>
              </w:rPr>
              <w:t>Log10 de la concentration en nombre des particules de l'atmosphère</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1800000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0 15 008</w:t>
            </w:r>
          </w:p>
        </w:tc>
        <w:tc>
          <w:tcPr>
            <w:tcW w:type="dxa" w:w="1514"/>
          </w:tcPr>
          <w:p>
            <w:pPr>
              <w:spacing w:before="20" w:after="20"/>
            </w:pPr>
            <w:r/>
            <w:r>
              <w:rPr>
                <w:rFonts w:ascii="Verdana" w:hAnsi="Verdana"/>
                <w:b w:val="0"/>
                <w:sz w:val="16"/>
              </w:rPr>
              <w:t>Mantisse du rapport de mélange volumétrique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0 15 009</w:t>
            </w:r>
          </w:p>
        </w:tc>
        <w:tc>
          <w:tcPr>
            <w:tcW w:type="dxa" w:w="1514"/>
          </w:tcPr>
          <w:p>
            <w:pPr>
              <w:spacing w:before="20" w:after="20"/>
            </w:pPr>
            <w:r/>
            <w:r>
              <w:rPr>
                <w:rFonts w:ascii="Verdana" w:hAnsi="Verdana"/>
                <w:b w:val="0"/>
                <w:sz w:val="16"/>
              </w:rPr>
              <w:t>Log10 de la concentration en nombre de molécules d'ozone</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1200000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0 15 011</w:t>
            </w:r>
          </w:p>
        </w:tc>
        <w:tc>
          <w:tcPr>
            <w:tcW w:type="dxa" w:w="1514"/>
          </w:tcPr>
          <w:p>
            <w:pPr>
              <w:spacing w:before="20" w:after="20"/>
            </w:pPr>
            <w:r/>
            <w:r>
              <w:rPr>
                <w:rFonts w:ascii="Verdana" w:hAnsi="Verdana"/>
                <w:b w:val="0"/>
                <w:sz w:val="16"/>
              </w:rPr>
              <w:t>Log10 de la densité électronique intégrée</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14000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0 15 012</w:t>
            </w:r>
          </w:p>
        </w:tc>
        <w:tc>
          <w:tcPr>
            <w:tcW w:type="dxa" w:w="1514"/>
          </w:tcPr>
          <w:p>
            <w:pPr>
              <w:spacing w:before="20" w:after="20"/>
            </w:pPr>
            <w:r/>
            <w:r>
              <w:rPr>
                <w:rFonts w:ascii="Verdana" w:hAnsi="Verdana"/>
                <w:b w:val="0"/>
                <w:sz w:val="16"/>
              </w:rPr>
              <w:t>Nombre total d'électrons par mètre carré</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0 15 015</w:t>
            </w:r>
          </w:p>
        </w:tc>
        <w:tc>
          <w:tcPr>
            <w:tcW w:type="dxa" w:w="1514"/>
          </w:tcPr>
          <w:p>
            <w:pPr>
              <w:spacing w:before="20" w:after="20"/>
            </w:pPr>
            <w:r/>
            <w:r>
              <w:rPr>
                <w:rFonts w:ascii="Verdana" w:hAnsi="Verdana"/>
                <w:b w:val="0"/>
                <w:sz w:val="16"/>
              </w:rPr>
              <w:t>Valeur maximale du spectre de l'image avant normalisation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0 15 020</w:t>
            </w:r>
          </w:p>
        </w:tc>
        <w:tc>
          <w:tcPr>
            <w:tcW w:type="dxa" w:w="1514"/>
          </w:tcPr>
          <w:p>
            <w:pPr>
              <w:spacing w:before="20" w:after="20"/>
            </w:pPr>
            <w:r/>
            <w:r>
              <w:rPr>
                <w:rFonts w:ascii="Verdana" w:hAnsi="Verdana"/>
                <w:b w:val="0"/>
                <w:sz w:val="16"/>
              </w:rPr>
              <w:t>Densité d'ozone intégrée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0 15 021</w:t>
            </w:r>
          </w:p>
        </w:tc>
        <w:tc>
          <w:tcPr>
            <w:tcW w:type="dxa" w:w="1514"/>
          </w:tcPr>
          <w:p>
            <w:pPr>
              <w:spacing w:before="20" w:after="20"/>
            </w:pPr>
            <w:r/>
            <w:r>
              <w:rPr>
                <w:rFonts w:ascii="Verdana" w:hAnsi="Verdana"/>
                <w:b w:val="0"/>
                <w:sz w:val="16"/>
              </w:rPr>
              <w:t>Densité de masse intégrée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0 15 024</w:t>
            </w:r>
          </w:p>
        </w:tc>
        <w:tc>
          <w:tcPr>
            <w:tcW w:type="dxa" w:w="1514"/>
          </w:tcPr>
          <w:p>
            <w:pPr>
              <w:spacing w:before="20" w:after="20"/>
            </w:pPr>
            <w:r/>
            <w:r>
              <w:rPr>
                <w:rFonts w:ascii="Verdana" w:hAnsi="Verdana"/>
                <w:b w:val="0"/>
                <w:sz w:val="16"/>
              </w:rPr>
              <w:t>Épaisseur optique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0 15 025</w:t>
            </w:r>
          </w:p>
        </w:tc>
        <w:tc>
          <w:tcPr>
            <w:tcW w:type="dxa" w:w="1514"/>
          </w:tcPr>
          <w:p>
            <w:pPr>
              <w:spacing w:before="20" w:after="20"/>
            </w:pPr>
            <w:r/>
            <w:r>
              <w:rPr>
                <w:rFonts w:ascii="Verdana" w:hAnsi="Verdana"/>
                <w:b w:val="0"/>
                <w:sz w:val="16"/>
              </w:rPr>
              <w:t>Type de polluant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0 15 026</w:t>
            </w:r>
          </w:p>
        </w:tc>
        <w:tc>
          <w:tcPr>
            <w:tcW w:type="dxa" w:w="1514"/>
          </w:tcPr>
          <w:p>
            <w:pPr>
              <w:spacing w:before="20" w:after="20"/>
            </w:pPr>
            <w:r/>
            <w:r>
              <w:rPr>
                <w:rFonts w:ascii="Verdana" w:hAnsi="Verdana"/>
                <w:b w:val="0"/>
                <w:sz w:val="16"/>
              </w:rPr>
              <w:t>Concentration du polluant (mol mol-1)</w:t>
            </w:r>
          </w:p>
        </w:tc>
        <w:tc>
          <w:tcPr>
            <w:tcW w:type="dxa" w:w="1514"/>
          </w:tcPr>
          <w:p>
            <w:pPr>
              <w:spacing w:before="20" w:after="20"/>
            </w:pPr>
            <w:r/>
            <w:r>
              <w:rPr>
                <w:rFonts w:ascii="Verdana" w:hAnsi="Verdana"/>
                <w:sz w:val="16"/>
              </w:rPr>
              <w:t>mol/mol</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mol/mol</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0 15 027</w:t>
            </w:r>
          </w:p>
        </w:tc>
        <w:tc>
          <w:tcPr>
            <w:tcW w:type="dxa" w:w="1514"/>
          </w:tcPr>
          <w:p>
            <w:pPr>
              <w:spacing w:before="20" w:after="20"/>
            </w:pPr>
            <w:r/>
            <w:r>
              <w:rPr>
                <w:rFonts w:ascii="Verdana" w:hAnsi="Verdana"/>
                <w:b w:val="0"/>
                <w:sz w:val="16"/>
              </w:rPr>
              <w:t>Concentration du polluant (kg m-3)</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0 15 028</w:t>
            </w:r>
          </w:p>
        </w:tc>
        <w:tc>
          <w:tcPr>
            <w:tcW w:type="dxa" w:w="1514"/>
          </w:tcPr>
          <w:p>
            <w:pPr>
              <w:spacing w:before="20" w:after="20"/>
            </w:pPr>
            <w:r/>
            <w:r>
              <w:rPr>
                <w:rFonts w:ascii="Verdana" w:hAnsi="Verdana"/>
                <w:b w:val="0"/>
                <w:sz w:val="16"/>
              </w:rPr>
              <w:t>Fraction molaire du constituant/ polluant atmosphérique en air sec</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0 15 029</w:t>
            </w:r>
          </w:p>
        </w:tc>
        <w:tc>
          <w:tcPr>
            <w:tcW w:type="dxa" w:w="1514"/>
          </w:tcPr>
          <w:p>
            <w:pPr>
              <w:spacing w:before="20" w:after="20"/>
            </w:pPr>
            <w:r/>
            <w:r>
              <w:rPr>
                <w:rFonts w:ascii="Verdana" w:hAnsi="Verdana"/>
                <w:b w:val="0"/>
                <w:sz w:val="16"/>
              </w:rPr>
              <w:t>Coefficient d'atténuation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0 15 030</w:t>
            </w:r>
          </w:p>
        </w:tc>
        <w:tc>
          <w:tcPr>
            <w:tcW w:type="dxa" w:w="1514"/>
          </w:tcPr>
          <w:p>
            <w:pPr>
              <w:spacing w:before="20" w:after="20"/>
            </w:pPr>
            <w:r/>
            <w:r>
              <w:rPr>
                <w:rFonts w:ascii="Verdana" w:hAnsi="Verdana"/>
                <w:b w:val="0"/>
                <w:sz w:val="16"/>
              </w:rPr>
              <w:t>Indice de contamination par aérosols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B79: Pour ce descripteur, les nombres inférieurs à –1 indiquent une prédominance d’aérosols de dispersion, dont la concentration augmente au fur et à mesure que la valeur du nombre baisse. Les nombres supérieurs à +1 indiquent une prédominance d’aérosols absorbants, dont la concentration augmente au fur et à mesure que la valeur du nombre augmente. Les nombres entre –1 et +1 indiquent des nuages ou du bruit.</w:t>
            </w:r>
          </w:p>
        </w:tc>
      </w:tr>
      <w:tr>
        <w:trPr>
          <w:cantSplit/>
        </w:trPr>
        <w:tc>
          <w:tcPr>
            <w:tcW w:type="dxa" w:w="1514"/>
          </w:tcPr>
          <w:p>
            <w:pPr>
              <w:spacing w:before="20" w:after="20"/>
            </w:pPr>
            <w:r/>
            <w:r>
              <w:rPr>
                <w:rFonts w:ascii="Verdana" w:hAnsi="Verdana"/>
                <w:b w:val="0"/>
                <w:sz w:val="16"/>
              </w:rPr>
              <w:t>0 15 031</w:t>
            </w:r>
          </w:p>
        </w:tc>
        <w:tc>
          <w:tcPr>
            <w:tcW w:type="dxa" w:w="1514"/>
          </w:tcPr>
          <w:p>
            <w:pPr>
              <w:spacing w:before="20" w:after="20"/>
            </w:pPr>
            <w:r/>
            <w:r>
              <w:rPr>
                <w:rFonts w:ascii="Verdana" w:hAnsi="Verdana"/>
                <w:b w:val="0"/>
                <w:sz w:val="16"/>
              </w:rPr>
              <w:t>Retard de propagation dans l'atmosphère du signal du satellite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0 15 032</w:t>
            </w:r>
          </w:p>
        </w:tc>
        <w:tc>
          <w:tcPr>
            <w:tcW w:type="dxa" w:w="1514"/>
          </w:tcPr>
          <w:p>
            <w:pPr>
              <w:spacing w:before="20" w:after="20"/>
            </w:pPr>
            <w:r/>
            <w:r>
              <w:rPr>
                <w:rFonts w:ascii="Verdana" w:hAnsi="Verdana"/>
                <w:b w:val="0"/>
                <w:sz w:val="16"/>
              </w:rPr>
              <w:t>Erreur estimative du retard de propagation dans l'atmosphère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0 15 033</w:t>
            </w:r>
          </w:p>
        </w:tc>
        <w:tc>
          <w:tcPr>
            <w:tcW w:type="dxa" w:w="1514"/>
          </w:tcPr>
          <w:p>
            <w:pPr>
              <w:spacing w:before="20" w:after="20"/>
            </w:pPr>
            <w:r/>
            <w:r>
              <w:rPr>
                <w:rFonts w:ascii="Verdana" w:hAnsi="Verdana"/>
                <w:b w:val="0"/>
                <w:sz w:val="16"/>
              </w:rPr>
              <w:t>Différence des retards de propagation pour des visées du limbe aux limites extrêmes du balayage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0 15 034</w:t>
            </w:r>
          </w:p>
        </w:tc>
        <w:tc>
          <w:tcPr>
            <w:tcW w:type="dxa" w:w="1514"/>
          </w:tcPr>
          <w:p>
            <w:pPr>
              <w:spacing w:before="20" w:after="20"/>
            </w:pPr>
            <w:r/>
            <w:r>
              <w:rPr>
                <w:rFonts w:ascii="Verdana" w:hAnsi="Verdana"/>
                <w:b w:val="0"/>
                <w:sz w:val="16"/>
              </w:rPr>
              <w:t>Erreur estimative de la différence des retards de propagation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0 15 035</w:t>
            </w:r>
          </w:p>
        </w:tc>
        <w:tc>
          <w:tcPr>
            <w:tcW w:type="dxa" w:w="1514"/>
          </w:tcPr>
          <w:p>
            <w:pPr>
              <w:spacing w:before="20" w:after="20"/>
            </w:pPr>
            <w:r/>
            <w:r>
              <w:rPr>
                <w:rFonts w:ascii="Verdana" w:hAnsi="Verdana"/>
                <w:b w:val="0"/>
                <w:sz w:val="16"/>
              </w:rPr>
              <w:t>Composante du retard de propagation pour une visée au zénith due à la vapeur d'eau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0 15 036</w:t>
            </w:r>
          </w:p>
        </w:tc>
        <w:tc>
          <w:tcPr>
            <w:tcW w:type="dxa" w:w="1514"/>
          </w:tcPr>
          <w:p>
            <w:pPr>
              <w:spacing w:before="20" w:after="20"/>
            </w:pPr>
            <w:r/>
            <w:r>
              <w:rPr>
                <w:rFonts w:ascii="Verdana" w:hAnsi="Verdana"/>
                <w:b w:val="0"/>
                <w:sz w:val="16"/>
              </w:rPr>
              <w:t>Réfractivité atmosphérique</w:t>
            </w:r>
          </w:p>
        </w:tc>
        <w:tc>
          <w:tcPr>
            <w:tcW w:type="dxa" w:w="1514"/>
          </w:tcPr>
          <w:p>
            <w:pPr>
              <w:spacing w:before="20" w:after="20"/>
            </w:pPr>
            <w:r/>
            <w:r>
              <w:rPr>
                <w:rFonts w:ascii="Verdana" w:hAnsi="Verdana"/>
                <w:sz w:val="16"/>
              </w:rPr>
              <w:t>Unités N</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Unités N</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B142: Le rapport entre la réfractivité N et l’indice de réfraction n est donné par la formule N = 10 6 ( n – 1). N est donc adimensionnel, mais les valeurs obtenues à partir de cette formule sont données par convention en unités N.</w:t>
            </w:r>
          </w:p>
        </w:tc>
      </w:tr>
      <w:tr>
        <w:trPr>
          <w:cantSplit/>
        </w:trPr>
        <w:tc>
          <w:tcPr>
            <w:tcW w:type="dxa" w:w="1514"/>
          </w:tcPr>
          <w:p>
            <w:pPr>
              <w:spacing w:before="20" w:after="20"/>
            </w:pPr>
            <w:r/>
            <w:r>
              <w:rPr>
                <w:rFonts w:ascii="Verdana" w:hAnsi="Verdana"/>
                <w:b w:val="0"/>
                <w:sz w:val="16"/>
              </w:rPr>
              <w:t>0 15 037</w:t>
            </w:r>
          </w:p>
        </w:tc>
        <w:tc>
          <w:tcPr>
            <w:tcW w:type="dxa" w:w="1514"/>
          </w:tcPr>
          <w:p>
            <w:pPr>
              <w:spacing w:before="20" w:after="20"/>
            </w:pPr>
            <w:r/>
            <w:r>
              <w:rPr>
                <w:rFonts w:ascii="Verdana" w:hAnsi="Verdana"/>
                <w:b w:val="0"/>
                <w:sz w:val="16"/>
              </w:rPr>
              <w:t>Angle de courbure</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0 15 041</w:t>
            </w:r>
          </w:p>
        </w:tc>
        <w:tc>
          <w:tcPr>
            <w:tcW w:type="dxa" w:w="1514"/>
          </w:tcPr>
          <w:p>
            <w:pPr>
              <w:spacing w:before="20" w:after="20"/>
            </w:pPr>
            <w:r/>
            <w:r>
              <w:rPr>
                <w:rFonts w:ascii="Verdana" w:hAnsi="Verdana"/>
                <w:b w:val="0"/>
                <w:sz w:val="16"/>
              </w:rPr>
              <w:t>Indice de dioxyde de soufre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B78: Pour ce descripteur, les nombres supérieurs à +6 indiquent une contamination par le dioxyde de soufre, dont l’intensité augmente au fur et à mesure que la valeur du nombre augmente. Ce nombre est calculé à partir d’un relevé en unités Dobson, mais pour une température spécifique et un profil de concentrations estimé qui peuvent ne pas être représentatifs de l’état effectif de l’atmosphère. En raison de ces écarts, il est représenté sous forme d’indice numérique.</w:t>
            </w:r>
          </w:p>
        </w:tc>
      </w:tr>
      <w:tr>
        <w:trPr>
          <w:cantSplit/>
        </w:trPr>
        <w:tc>
          <w:tcPr>
            <w:tcW w:type="dxa" w:w="1514"/>
          </w:tcPr>
          <w:p>
            <w:pPr>
              <w:spacing w:before="20" w:after="20"/>
            </w:pPr>
            <w:r/>
            <w:r>
              <w:rPr>
                <w:rFonts w:ascii="Verdana" w:hAnsi="Verdana"/>
                <w:b w:val="0"/>
                <w:sz w:val="16"/>
              </w:rPr>
              <w:t>0 15 042</w:t>
            </w:r>
          </w:p>
        </w:tc>
        <w:tc>
          <w:tcPr>
            <w:tcW w:type="dxa" w:w="1514"/>
          </w:tcPr>
          <w:p>
            <w:pPr>
              <w:spacing w:before="20" w:after="20"/>
            </w:pPr>
            <w:r/>
            <w:r>
              <w:rPr>
                <w:rFonts w:ascii="Verdana" w:hAnsi="Verdana"/>
                <w:b w:val="0"/>
                <w:sz w:val="16"/>
              </w:rPr>
              <w:t>Facteur de réflexion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0 15 045</w:t>
            </w:r>
          </w:p>
        </w:tc>
        <w:tc>
          <w:tcPr>
            <w:tcW w:type="dxa" w:w="1514"/>
          </w:tcPr>
          <w:p>
            <w:pPr>
              <w:spacing w:before="20" w:after="20"/>
            </w:pPr>
            <w:r/>
            <w:r>
              <w:rPr>
                <w:rFonts w:ascii="Verdana" w:hAnsi="Verdana"/>
                <w:b w:val="0"/>
                <w:sz w:val="16"/>
              </w:rPr>
              <w:t>Dioxyde de soufre</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B77: Pour ce descripteur, les valeurs négatives indiquent du bruit, un mauvais étalonnage ou la présence d’aérosols absorbants. La mise en réserve de ces valeurs permet d’établir des estimations ultérieures plus précises pour les erreurs d’étalonnage.</w:t>
            </w:r>
          </w:p>
        </w:tc>
      </w:tr>
      <w:tr>
        <w:trPr>
          <w:cantSplit/>
        </w:trPr>
        <w:tc>
          <w:tcPr>
            <w:tcW w:type="dxa" w:w="1514"/>
          </w:tcPr>
          <w:p>
            <w:pPr>
              <w:spacing w:before="20" w:after="20"/>
            </w:pPr>
            <w:r/>
            <w:r>
              <w:rPr>
                <w:rFonts w:ascii="Verdana" w:hAnsi="Verdana"/>
                <w:b w:val="0"/>
                <w:sz w:val="16"/>
              </w:rPr>
              <w:t>0 15 046</w:t>
            </w:r>
          </w:p>
        </w:tc>
        <w:tc>
          <w:tcPr>
            <w:tcW w:type="dxa" w:w="1514"/>
          </w:tcPr>
          <w:p>
            <w:pPr>
              <w:spacing w:before="20" w:after="20"/>
            </w:pPr>
            <w:r/>
            <w:r>
              <w:rPr>
                <w:rFonts w:ascii="Verdana" w:hAnsi="Verdana"/>
                <w:b w:val="0"/>
                <w:sz w:val="16"/>
              </w:rPr>
              <w:t>Indice de contamination volcanique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B80: Pour ce descripteur, les unités représentent l’écart-type climatologique de la valeur de l’ozone troposhérique pour une altitude donnée. Par exemple, une valeur de 5,0 indique un profil pour lequel les écarts-types pour une valeur d’ozone troposphérique de 5,0 sont supérieurs à la moyenne climatologique.</w:t>
            </w:r>
          </w:p>
        </w:tc>
      </w:tr>
      <w:tr>
        <w:trPr>
          <w:cantSplit/>
        </w:trPr>
        <w:tc>
          <w:tcPr>
            <w:tcW w:type="dxa" w:w="1514"/>
          </w:tcPr>
          <w:p>
            <w:pPr>
              <w:spacing w:before="20" w:after="20"/>
            </w:pPr>
            <w:r/>
            <w:r>
              <w:rPr>
                <w:rFonts w:ascii="Verdana" w:hAnsi="Verdana"/>
                <w:b w:val="0"/>
                <w:sz w:val="16"/>
              </w:rPr>
              <w:t>0 15 049</w:t>
            </w:r>
          </w:p>
        </w:tc>
        <w:tc>
          <w:tcPr>
            <w:tcW w:type="dxa" w:w="1514"/>
          </w:tcPr>
          <w:p>
            <w:pPr>
              <w:spacing w:before="20" w:after="20"/>
            </w:pPr>
            <w:r/>
            <w:r>
              <w:rPr>
                <w:rFonts w:ascii="Verdana" w:hAnsi="Verdana"/>
                <w:b w:val="0"/>
                <w:sz w:val="16"/>
              </w:rPr>
              <w:t>Exposant d'Ångström de l'aérosol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0 15 051</w:t>
            </w:r>
          </w:p>
        </w:tc>
        <w:tc>
          <w:tcPr>
            <w:tcW w:type="dxa" w:w="1514"/>
          </w:tcPr>
          <w:p>
            <w:pPr>
              <w:spacing w:before="20" w:after="20"/>
            </w:pPr>
            <w:r/>
            <w:r>
              <w:rPr>
                <w:rFonts w:ascii="Verdana" w:hAnsi="Verdana"/>
                <w:b w:val="0"/>
                <w:sz w:val="16"/>
              </w:rPr>
              <w:t>Portée optique météorologique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0 15 052</w:t>
            </w:r>
          </w:p>
        </w:tc>
        <w:tc>
          <w:tcPr>
            <w:tcW w:type="dxa" w:w="1514"/>
          </w:tcPr>
          <w:p>
            <w:pPr>
              <w:spacing w:before="20" w:after="20"/>
            </w:pPr>
            <w:r/>
            <w:r>
              <w:rPr>
                <w:rFonts w:ascii="Verdana" w:hAnsi="Verdana"/>
                <w:b w:val="0"/>
                <w:sz w:val="16"/>
              </w:rPr>
              <w:t>Log10 de la concentration en nombre de particules d'aérosols de diamètre supérieur à 5 nm</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0 15 053</w:t>
            </w:r>
          </w:p>
        </w:tc>
        <w:tc>
          <w:tcPr>
            <w:tcW w:type="dxa" w:w="1514"/>
          </w:tcPr>
          <w:p>
            <w:pPr>
              <w:spacing w:before="20" w:after="20"/>
            </w:pPr>
            <w:r/>
            <w:r>
              <w:rPr>
                <w:rFonts w:ascii="Verdana" w:hAnsi="Verdana"/>
                <w:b w:val="0"/>
                <w:sz w:val="16"/>
              </w:rPr>
              <w:t>Log10 de la concentration en nombre de particules d'aérosols de diamètre supérieur à 14 nm</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600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0 15 054</w:t>
            </w:r>
          </w:p>
        </w:tc>
        <w:tc>
          <w:tcPr>
            <w:tcW w:type="dxa" w:w="1514"/>
          </w:tcPr>
          <w:p>
            <w:pPr>
              <w:spacing w:before="20" w:after="20"/>
            </w:pPr>
            <w:r/>
            <w:r>
              <w:rPr>
                <w:rFonts w:ascii="Verdana" w:hAnsi="Verdana"/>
                <w:b w:val="0"/>
                <w:sz w:val="16"/>
              </w:rPr>
              <w:t>Log10 de la concentration en nombre de particules d'aérosols de diamètre compris entre 0.25 et 2.5 µm</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550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0 15 055</w:t>
            </w:r>
          </w:p>
        </w:tc>
        <w:tc>
          <w:tcPr>
            <w:tcW w:type="dxa" w:w="1514"/>
          </w:tcPr>
          <w:p>
            <w:pPr>
              <w:spacing w:before="20" w:after="20"/>
            </w:pPr>
            <w:r/>
            <w:r>
              <w:rPr>
                <w:rFonts w:ascii="Verdana" w:hAnsi="Verdana"/>
                <w:b w:val="0"/>
                <w:sz w:val="16"/>
              </w:rPr>
              <w:t>Proportion d'aérosols non volatils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0 15 062</w:t>
            </w:r>
          </w:p>
        </w:tc>
        <w:tc>
          <w:tcPr>
            <w:tcW w:type="dxa" w:w="1514"/>
          </w:tcPr>
          <w:p>
            <w:pPr>
              <w:spacing w:before="20" w:after="20"/>
            </w:pPr>
            <w:r/>
            <w:r>
              <w:rPr>
                <w:rFonts w:ascii="Verdana" w:hAnsi="Verdana"/>
                <w:b w:val="0"/>
                <w:sz w:val="16"/>
              </w:rPr>
              <w:t>Épaisseur optique des aérosols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0 15 063</w:t>
            </w:r>
          </w:p>
        </w:tc>
        <w:tc>
          <w:tcPr>
            <w:tcW w:type="dxa" w:w="1514"/>
          </w:tcPr>
          <w:p>
            <w:pPr>
              <w:spacing w:before="20" w:after="20"/>
            </w:pPr>
            <w:r/>
            <w:r>
              <w:rPr>
                <w:rFonts w:ascii="Verdana" w:hAnsi="Verdana"/>
                <w:b w:val="0"/>
                <w:sz w:val="16"/>
              </w:rPr>
              <w:t>Rétrodiffusion atténuée</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0 15 064</w:t>
            </w:r>
          </w:p>
        </w:tc>
        <w:tc>
          <w:tcPr>
            <w:tcW w:type="dxa" w:w="1514"/>
          </w:tcPr>
          <w:p>
            <w:pPr>
              <w:spacing w:before="20" w:after="20"/>
            </w:pPr>
            <w:r/>
            <w:r>
              <w:rPr>
                <w:rFonts w:ascii="Verdana" w:hAnsi="Verdana"/>
                <w:b w:val="0"/>
                <w:sz w:val="16"/>
              </w:rPr>
              <w:t>Incertitude relative à la rétrodiffusion atténuée</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0 15 065</w:t>
            </w:r>
          </w:p>
        </w:tc>
        <w:tc>
          <w:tcPr>
            <w:tcW w:type="dxa" w:w="1514"/>
          </w:tcPr>
          <w:p>
            <w:pPr>
              <w:spacing w:before="20" w:after="20"/>
            </w:pPr>
            <w:r/>
            <w:r>
              <w:rPr>
                <w:rFonts w:ascii="Verdana" w:hAnsi="Verdana"/>
                <w:b w:val="0"/>
                <w:sz w:val="16"/>
              </w:rPr>
              <w:t>Coefficient de rétrodiffusion des particules</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0 15 066</w:t>
            </w:r>
          </w:p>
        </w:tc>
        <w:tc>
          <w:tcPr>
            <w:tcW w:type="dxa" w:w="1514"/>
          </w:tcPr>
          <w:p>
            <w:pPr>
              <w:spacing w:before="20" w:after="20"/>
            </w:pPr>
            <w:r/>
            <w:r>
              <w:rPr>
                <w:rFonts w:ascii="Verdana" w:hAnsi="Verdana"/>
                <w:b w:val="0"/>
                <w:sz w:val="16"/>
              </w:rPr>
              <w:t>Incertitude relative au coefficient de rétrodiffusion des particules</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0 15 067</w:t>
            </w:r>
          </w:p>
        </w:tc>
        <w:tc>
          <w:tcPr>
            <w:tcW w:type="dxa" w:w="1514"/>
          </w:tcPr>
          <w:p>
            <w:pPr>
              <w:spacing w:before="20" w:after="20"/>
            </w:pPr>
            <w:r/>
            <w:r>
              <w:rPr>
                <w:rFonts w:ascii="Verdana" w:hAnsi="Verdana"/>
                <w:b w:val="0"/>
                <w:sz w:val="16"/>
              </w:rPr>
              <w:t>Coefficient d'atténuation des particules</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0 15 068</w:t>
            </w:r>
          </w:p>
        </w:tc>
        <w:tc>
          <w:tcPr>
            <w:tcW w:type="dxa" w:w="1514"/>
          </w:tcPr>
          <w:p>
            <w:pPr>
              <w:spacing w:before="20" w:after="20"/>
            </w:pPr>
            <w:r/>
            <w:r>
              <w:rPr>
                <w:rFonts w:ascii="Verdana" w:hAnsi="Verdana"/>
                <w:b w:val="0"/>
                <w:sz w:val="16"/>
              </w:rPr>
              <w:t>Incertitude relative au coefficient d'atténuation des particules</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0 15 069</w:t>
            </w:r>
          </w:p>
        </w:tc>
        <w:tc>
          <w:tcPr>
            <w:tcW w:type="dxa" w:w="1514"/>
          </w:tcPr>
          <w:p>
            <w:pPr>
              <w:spacing w:before="20" w:after="20"/>
            </w:pPr>
            <w:r/>
            <w:r>
              <w:rPr>
                <w:rFonts w:ascii="Verdana" w:hAnsi="Verdana"/>
                <w:b w:val="0"/>
                <w:sz w:val="16"/>
              </w:rPr>
              <w:t>Rapport lidar des particules</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0 15 070</w:t>
            </w:r>
          </w:p>
        </w:tc>
        <w:tc>
          <w:tcPr>
            <w:tcW w:type="dxa" w:w="1514"/>
          </w:tcPr>
          <w:p>
            <w:pPr>
              <w:spacing w:before="20" w:after="20"/>
            </w:pPr>
            <w:r/>
            <w:r>
              <w:rPr>
                <w:rFonts w:ascii="Verdana" w:hAnsi="Verdana"/>
                <w:b w:val="0"/>
                <w:sz w:val="16"/>
              </w:rPr>
              <w:t>Incertitude relative au rapport lidar</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0 15 071</w:t>
            </w:r>
          </w:p>
        </w:tc>
        <w:tc>
          <w:tcPr>
            <w:tcW w:type="dxa" w:w="1514"/>
          </w:tcPr>
          <w:p>
            <w:pPr>
              <w:spacing w:before="20" w:after="20"/>
            </w:pPr>
            <w:r/>
            <w:r>
              <w:rPr>
                <w:rFonts w:ascii="Verdana" w:hAnsi="Verdana"/>
                <w:b w:val="0"/>
                <w:sz w:val="16"/>
              </w:rPr>
              <w:t>Rapport de dépolarisation des particules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0 15 072</w:t>
            </w:r>
          </w:p>
        </w:tc>
        <w:tc>
          <w:tcPr>
            <w:tcW w:type="dxa" w:w="1514"/>
          </w:tcPr>
          <w:p>
            <w:pPr>
              <w:spacing w:before="20" w:after="20"/>
            </w:pPr>
            <w:r/>
            <w:r>
              <w:rPr>
                <w:rFonts w:ascii="Verdana" w:hAnsi="Verdana"/>
                <w:b w:val="0"/>
                <w:sz w:val="16"/>
              </w:rPr>
              <w:t>Incertitude relative au rapport de dépolarisation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