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Verdana" w:hAnsi="Verdana"/>
          <w:b/>
          <w:sz w:val="22"/>
        </w:rPr>
        <w:t>Classe 23 : Dispersion et transport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1514"/>
        <w:gridCol w:w="1514"/>
        <w:gridCol w:w="1514"/>
        <w:gridCol w:w="1514"/>
        <w:gridCol w:w="1514"/>
        <w:gridCol w:w="1514"/>
        <w:gridCol w:w="1514"/>
        <w:gridCol w:w="1514"/>
        <w:gridCol w:w="1514"/>
        <w:gridCol w:w="1514"/>
      </w:tblGrid>
      <w:tr>
        <w:trPr>
          <w:tblHeader/>
        </w:trPr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FXY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NOM DE L'ÉLÉMENT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UNITÉ BUFR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ÉCHELLE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VAL. RÉF.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BITS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UNITÉ CREX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ÉCHELLE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CAR.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0 23 001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Notification rapide d'un accident - article applicable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0 23 002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Activité ou installation en cause dans l'incident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0 23 003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Type de rejet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0 23 004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Contre-mesures prises près de la frontière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0 23 005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Cause de l'incident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0 23 006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Situation de l'incident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0 23 007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Caractéristiques du rejet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0 23 008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Nature du rejet observé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0 23 009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Nature du rejet prévu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0 23 016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Risque d'effets chimiques toxiques notables sur la santé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0 23 017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Débit de la principale masse d'eau réceptrice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  <w:r>
              <w:rPr>
                <w:rFonts w:ascii="Verdana" w:hAnsi="Verdana"/>
                <w:sz w:val="16"/>
                <w:vertAlign w:val="superscript"/>
              </w:rPr>
              <w:t>3</w:t>
            </w:r>
            <w:r>
              <w:rPr>
                <w:rFonts w:ascii="Verdana" w:hAnsi="Verdana"/>
                <w:sz w:val="16"/>
              </w:rPr>
              <w:t>/s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  <w:r>
              <w:rPr>
                <w:rFonts w:ascii="Verdana" w:hAnsi="Verdana"/>
                <w:sz w:val="16"/>
                <w:vertAlign w:val="superscript"/>
              </w:rPr>
              <w:t>3</w:t>
            </w:r>
            <w:r>
              <w:rPr>
                <w:rFonts w:ascii="Verdana" w:hAnsi="Verdana"/>
                <w:sz w:val="16"/>
              </w:rPr>
              <w:t>/s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0 23 018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Évolution du rejet dans le temps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0 23 019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Hauteur réelle du rejet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-15000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0 23 021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Hauteur effective du rejet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-15000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0 23 022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Distance du point de rejet ou du site de l'incident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0 23 023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Vitesse du transport principal dans l'atmosphère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m/s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m/s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0 23 024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Vitesse du transport principal dans l'eau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m/s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m/s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0 23 025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Vitesse du transport principal dans les eaux souterraines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m/s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m/s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0 23 027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Direction du transport principal dans l'atmosphère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degré vrai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degré vrai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0 23 028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Direction du transport principal dans l'eau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degré vrai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degré vrai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0 23 029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Direction du transport principal dans les eaux souterraines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degré vrai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degré vrai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0 23 031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Possibilité que le panache rencontre des précipitations dans l'état où l'incident s'est produit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0 23 032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Possibilité que le panache soit affecté par un changement de direction et/ou de vitesse du vent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0 23 040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Débit - cours d'eau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  <w:r>
              <w:rPr>
                <w:rFonts w:ascii="Verdana" w:hAnsi="Verdana"/>
                <w:sz w:val="16"/>
                <w:vertAlign w:val="superscript"/>
              </w:rPr>
              <w:t>3</w:t>
            </w:r>
            <w:r>
              <w:rPr>
                <w:rFonts w:ascii="Verdana" w:hAnsi="Verdana"/>
                <w:sz w:val="16"/>
              </w:rPr>
              <w:t xml:space="preserve"> s</w:t>
            </w:r>
            <w:r>
              <w:rPr>
                <w:rFonts w:ascii="Verdana" w:hAnsi="Verdana"/>
                <w:sz w:val="16"/>
                <w:vertAlign w:val="superscript"/>
              </w:rPr>
              <w:t>-1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  <w:r>
              <w:rPr>
                <w:rFonts w:ascii="Verdana" w:hAnsi="Verdana"/>
                <w:sz w:val="16"/>
                <w:vertAlign w:val="superscript"/>
              </w:rPr>
              <w:t>3</w:t>
            </w:r>
            <w:r>
              <w:rPr>
                <w:rFonts w:ascii="Verdana" w:hAnsi="Verdana"/>
                <w:sz w:val="16"/>
              </w:rPr>
              <w:t xml:space="preserve"> s</w:t>
            </w:r>
            <w:r>
              <w:rPr>
                <w:rFonts w:ascii="Verdana" w:hAnsi="Verdana"/>
                <w:sz w:val="16"/>
                <w:vertAlign w:val="superscript"/>
              </w:rPr>
              <w:t>-1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0 23 041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Débit - puits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  <w:r>
              <w:rPr>
                <w:rFonts w:ascii="Verdana" w:hAnsi="Verdana"/>
                <w:sz w:val="16"/>
                <w:vertAlign w:val="superscript"/>
              </w:rPr>
              <w:t>3</w:t>
            </w:r>
            <w:r>
              <w:rPr>
                <w:rFonts w:ascii="Verdana" w:hAnsi="Verdana"/>
                <w:sz w:val="16"/>
              </w:rPr>
              <w:t xml:space="preserve"> s</w:t>
            </w:r>
            <w:r>
              <w:rPr>
                <w:rFonts w:ascii="Verdana" w:hAnsi="Verdana"/>
                <w:sz w:val="16"/>
                <w:vertAlign w:val="superscript"/>
              </w:rPr>
              <w:t>-1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  <w:r>
              <w:rPr>
                <w:rFonts w:ascii="Verdana" w:hAnsi="Verdana"/>
                <w:sz w:val="16"/>
                <w:vertAlign w:val="superscript"/>
              </w:rPr>
              <w:t>3</w:t>
            </w:r>
            <w:r>
              <w:rPr>
                <w:rFonts w:ascii="Verdana" w:hAnsi="Verdana"/>
                <w:sz w:val="16"/>
              </w:rPr>
              <w:t xml:space="preserve"> s</w:t>
            </w:r>
            <w:r>
              <w:rPr>
                <w:rFonts w:ascii="Verdana" w:hAnsi="Verdana"/>
                <w:sz w:val="16"/>
                <w:vertAlign w:val="superscript"/>
              </w:rPr>
              <w:t>-1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sectPr w:rsidR="00FC693F" w:rsidRPr="0006063C" w:rsidSect="00034616">
      <w:pgSz w:w="16838" w:h="11906" w:orient="landscape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