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14: Радиация и излучение</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0 14 001</w:t>
            </w:r>
          </w:p>
        </w:tc>
        <w:tc>
          <w:tcPr>
            <w:tcW w:type="dxa" w:w="1514"/>
          </w:tcPr>
          <w:p>
            <w:pPr>
              <w:spacing w:before="20" w:after="20"/>
            </w:pPr>
            <w:r/>
            <w:r>
              <w:rPr>
                <w:rFonts w:ascii="Verdana" w:hAnsi="Verdana"/>
                <w:b w:val="0"/>
                <w:sz w:val="16"/>
              </w:rPr>
              <w:t>Длинноволновая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0 14 002</w:t>
            </w:r>
          </w:p>
        </w:tc>
        <w:tc>
          <w:tcPr>
            <w:tcW w:type="dxa" w:w="1514"/>
          </w:tcPr>
          <w:p>
            <w:pPr>
              <w:spacing w:before="20" w:after="20"/>
            </w:pPr>
            <w:r/>
            <w:r>
              <w:rPr>
                <w:rFonts w:ascii="Verdana" w:hAnsi="Verdana"/>
                <w:b w:val="0"/>
                <w:sz w:val="16"/>
              </w:rPr>
              <w:t>Длинноволновая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0 14 003</w:t>
            </w:r>
          </w:p>
        </w:tc>
        <w:tc>
          <w:tcPr>
            <w:tcW w:type="dxa" w:w="1514"/>
          </w:tcPr>
          <w:p>
            <w:pPr>
              <w:spacing w:before="20" w:after="20"/>
            </w:pPr>
            <w:r/>
            <w:r>
              <w:rPr>
                <w:rFonts w:ascii="Verdana" w:hAnsi="Verdana"/>
                <w:b w:val="0"/>
                <w:sz w:val="16"/>
              </w:rPr>
              <w:t>Коротковолновая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0 14 004</w:t>
            </w:r>
          </w:p>
        </w:tc>
        <w:tc>
          <w:tcPr>
            <w:tcW w:type="dxa" w:w="1514"/>
          </w:tcPr>
          <w:p>
            <w:pPr>
              <w:spacing w:before="20" w:after="20"/>
            </w:pPr>
            <w:r/>
            <w:r>
              <w:rPr>
                <w:rFonts w:ascii="Verdana" w:hAnsi="Verdana"/>
                <w:b w:val="0"/>
                <w:sz w:val="16"/>
              </w:rPr>
              <w:t>Коротковолновая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0 14 011</w:t>
            </w:r>
          </w:p>
        </w:tc>
        <w:tc>
          <w:tcPr>
            <w:tcW w:type="dxa" w:w="1514"/>
          </w:tcPr>
          <w:p>
            <w:pPr>
              <w:spacing w:before="20" w:after="20"/>
            </w:pPr>
            <w:r/>
            <w:r>
              <w:rPr>
                <w:rFonts w:ascii="Verdana" w:hAnsi="Verdana"/>
                <w:b w:val="0"/>
                <w:sz w:val="16"/>
              </w:rPr>
              <w:t>Остаточная длинноволновая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0 14 012</w:t>
            </w:r>
          </w:p>
        </w:tc>
        <w:tc>
          <w:tcPr>
            <w:tcW w:type="dxa" w:w="1514"/>
          </w:tcPr>
          <w:p>
            <w:pPr>
              <w:spacing w:before="20" w:after="20"/>
            </w:pPr>
            <w:r/>
            <w:r>
              <w:rPr>
                <w:rFonts w:ascii="Verdana" w:hAnsi="Verdana"/>
                <w:b w:val="0"/>
                <w:sz w:val="16"/>
              </w:rPr>
              <w:t>Остаточная длинноволновая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0 14 013</w:t>
            </w:r>
          </w:p>
        </w:tc>
        <w:tc>
          <w:tcPr>
            <w:tcW w:type="dxa" w:w="1514"/>
          </w:tcPr>
          <w:p>
            <w:pPr>
              <w:spacing w:before="20" w:after="20"/>
            </w:pPr>
            <w:r/>
            <w:r>
              <w:rPr>
                <w:rFonts w:ascii="Verdana" w:hAnsi="Verdana"/>
                <w:b w:val="0"/>
                <w:sz w:val="16"/>
              </w:rPr>
              <w:t>Остаточная коротковолновая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0 14 014</w:t>
            </w:r>
          </w:p>
        </w:tc>
        <w:tc>
          <w:tcPr>
            <w:tcW w:type="dxa" w:w="1514"/>
          </w:tcPr>
          <w:p>
            <w:pPr>
              <w:spacing w:before="20" w:after="20"/>
            </w:pPr>
            <w:r/>
            <w:r>
              <w:rPr>
                <w:rFonts w:ascii="Verdana" w:hAnsi="Verdana"/>
                <w:b w:val="0"/>
                <w:sz w:val="16"/>
              </w:rPr>
              <w:t>Остаточная коротковолновая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0 14 015</w:t>
            </w:r>
          </w:p>
        </w:tc>
        <w:tc>
          <w:tcPr>
            <w:tcW w:type="dxa" w:w="1514"/>
          </w:tcPr>
          <w:p>
            <w:pPr>
              <w:spacing w:before="20" w:after="20"/>
            </w:pPr>
            <w:r/>
            <w:r>
              <w:rPr>
                <w:rFonts w:ascii="Verdana" w:hAnsi="Verdana"/>
                <w:b w:val="0"/>
                <w:sz w:val="16"/>
              </w:rPr>
              <w:t>Радиационный баланс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0 14 016</w:t>
            </w:r>
          </w:p>
        </w:tc>
        <w:tc>
          <w:tcPr>
            <w:tcW w:type="dxa" w:w="1514"/>
          </w:tcPr>
          <w:p>
            <w:pPr>
              <w:spacing w:before="20" w:after="20"/>
            </w:pPr>
            <w:r/>
            <w:r>
              <w:rPr>
                <w:rFonts w:ascii="Verdana" w:hAnsi="Verdana"/>
                <w:b w:val="0"/>
                <w:sz w:val="16"/>
              </w:rPr>
              <w:t>Радиационный баланс, интегрированный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0 14 017</w:t>
            </w:r>
          </w:p>
        </w:tc>
        <w:tc>
          <w:tcPr>
            <w:tcW w:type="dxa" w:w="1514"/>
          </w:tcPr>
          <w:p>
            <w:pPr>
              <w:spacing w:before="20" w:after="20"/>
            </w:pPr>
            <w:r/>
            <w:r>
              <w:rPr>
                <w:rFonts w:ascii="Verdana" w:hAnsi="Verdana"/>
                <w:b w:val="0"/>
                <w:sz w:val="16"/>
              </w:rPr>
              <w:t>Мгновенная длинноволновая радиация</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0 14 018</w:t>
            </w:r>
          </w:p>
        </w:tc>
        <w:tc>
          <w:tcPr>
            <w:tcW w:type="dxa" w:w="1514"/>
          </w:tcPr>
          <w:p>
            <w:pPr>
              <w:spacing w:before="20" w:after="20"/>
            </w:pPr>
            <w:r/>
            <w:r>
              <w:rPr>
                <w:rFonts w:ascii="Verdana" w:hAnsi="Verdana"/>
                <w:b w:val="0"/>
                <w:sz w:val="16"/>
              </w:rPr>
              <w:t>Мгновенная коротковолновая радиация</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0 14 019</w:t>
            </w:r>
          </w:p>
        </w:tc>
        <w:tc>
          <w:tcPr>
            <w:tcW w:type="dxa" w:w="1514"/>
          </w:tcPr>
          <w:p>
            <w:pPr>
              <w:spacing w:before="20" w:after="20"/>
            </w:pPr>
            <w:r/>
            <w:r>
              <w:rPr>
                <w:rFonts w:ascii="Verdana" w:hAnsi="Verdana"/>
                <w:b w:val="0"/>
                <w:sz w:val="16"/>
              </w:rPr>
              <w:t>Альбедо поверхности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0 14 020</w:t>
            </w:r>
          </w:p>
        </w:tc>
        <w:tc>
          <w:tcPr>
            <w:tcW w:type="dxa" w:w="1514"/>
          </w:tcPr>
          <w:p>
            <w:pPr>
              <w:spacing w:before="20" w:after="20"/>
            </w:pPr>
            <w:r/>
            <w:r>
              <w:rPr>
                <w:rFonts w:ascii="Verdana" w:hAnsi="Verdana"/>
                <w:b w:val="0"/>
                <w:sz w:val="16"/>
              </w:rPr>
              <w:t>Суммарная солнечная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0 14 021</w:t>
            </w:r>
          </w:p>
        </w:tc>
        <w:tc>
          <w:tcPr>
            <w:tcW w:type="dxa" w:w="1514"/>
          </w:tcPr>
          <w:p>
            <w:pPr>
              <w:spacing w:before="20" w:after="20"/>
            </w:pPr>
            <w:r/>
            <w:r>
              <w:rPr>
                <w:rFonts w:ascii="Verdana" w:hAnsi="Verdana"/>
                <w:b w:val="0"/>
                <w:sz w:val="16"/>
              </w:rPr>
              <w:t>Суммарная солнечная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0 14 022</w:t>
            </w:r>
          </w:p>
        </w:tc>
        <w:tc>
          <w:tcPr>
            <w:tcW w:type="dxa" w:w="1514"/>
          </w:tcPr>
          <w:p>
            <w:pPr>
              <w:spacing w:before="20" w:after="20"/>
            </w:pPr>
            <w:r/>
            <w:r>
              <w:rPr>
                <w:rFonts w:ascii="Verdana" w:hAnsi="Verdana"/>
                <w:b w:val="0"/>
                <w:sz w:val="16"/>
              </w:rPr>
              <w:t>Рассеянная солнечная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0 14 023</w:t>
            </w:r>
          </w:p>
        </w:tc>
        <w:tc>
          <w:tcPr>
            <w:tcW w:type="dxa" w:w="1514"/>
          </w:tcPr>
          <w:p>
            <w:pPr>
              <w:spacing w:before="20" w:after="20"/>
            </w:pPr>
            <w:r/>
            <w:r>
              <w:rPr>
                <w:rFonts w:ascii="Verdana" w:hAnsi="Verdana"/>
                <w:b w:val="0"/>
                <w:sz w:val="16"/>
              </w:rPr>
              <w:t>Рассеянная солнечная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0 14 024</w:t>
            </w:r>
          </w:p>
        </w:tc>
        <w:tc>
          <w:tcPr>
            <w:tcW w:type="dxa" w:w="1514"/>
          </w:tcPr>
          <w:p>
            <w:pPr>
              <w:spacing w:before="20" w:after="20"/>
            </w:pPr>
            <w:r/>
            <w:r>
              <w:rPr>
                <w:rFonts w:ascii="Verdana" w:hAnsi="Verdana"/>
                <w:b w:val="0"/>
                <w:sz w:val="16"/>
              </w:rPr>
              <w:t>Прямая солнечная радиация, интегрированная за 24 часа</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0 14 025</w:t>
            </w:r>
          </w:p>
        </w:tc>
        <w:tc>
          <w:tcPr>
            <w:tcW w:type="dxa" w:w="1514"/>
          </w:tcPr>
          <w:p>
            <w:pPr>
              <w:spacing w:before="20" w:after="20"/>
            </w:pPr>
            <w:r/>
            <w:r>
              <w:rPr>
                <w:rFonts w:ascii="Verdana" w:hAnsi="Verdana"/>
                <w:b w:val="0"/>
                <w:sz w:val="16"/>
              </w:rPr>
              <w:t>Прямая солнечная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0 14 026</w:t>
            </w:r>
          </w:p>
        </w:tc>
        <w:tc>
          <w:tcPr>
            <w:tcW w:type="dxa" w:w="1514"/>
          </w:tcPr>
          <w:p>
            <w:pPr>
              <w:spacing w:before="20" w:after="20"/>
            </w:pPr>
            <w:r/>
            <w:r>
              <w:rPr>
                <w:rFonts w:ascii="Verdana" w:hAnsi="Verdana"/>
                <w:b w:val="0"/>
                <w:sz w:val="16"/>
              </w:rPr>
              <w:t>Альбедо на вершинах облаков</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0 14 027</w:t>
            </w:r>
          </w:p>
        </w:tc>
        <w:tc>
          <w:tcPr>
            <w:tcW w:type="dxa" w:w="1514"/>
          </w:tcPr>
          <w:p>
            <w:pPr>
              <w:spacing w:before="20" w:after="20"/>
            </w:pPr>
            <w:r/>
            <w:r>
              <w:rPr>
                <w:rFonts w:ascii="Verdana" w:hAnsi="Verdana"/>
                <w:b w:val="0"/>
                <w:sz w:val="16"/>
              </w:rPr>
              <w:t>Альбедо</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0 14 028</w:t>
            </w:r>
          </w:p>
        </w:tc>
        <w:tc>
          <w:tcPr>
            <w:tcW w:type="dxa" w:w="1514"/>
          </w:tcPr>
          <w:p>
            <w:pPr>
              <w:spacing w:before="20" w:after="20"/>
            </w:pPr>
            <w:r/>
            <w:r>
              <w:rPr>
                <w:rFonts w:ascii="Verdana" w:hAnsi="Verdana"/>
                <w:b w:val="0"/>
                <w:sz w:val="16"/>
              </w:rPr>
              <w:t>Суммарная солнечная радиация (высокая точность),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0 14 029</w:t>
            </w:r>
          </w:p>
        </w:tc>
        <w:tc>
          <w:tcPr>
            <w:tcW w:type="dxa" w:w="1514"/>
          </w:tcPr>
          <w:p>
            <w:pPr>
              <w:spacing w:before="20" w:after="20"/>
            </w:pPr>
            <w:r/>
            <w:r>
              <w:rPr>
                <w:rFonts w:ascii="Verdana" w:hAnsi="Verdana"/>
                <w:b w:val="0"/>
                <w:sz w:val="16"/>
              </w:rPr>
              <w:t>Рассеянная солнечная радиация (высокая точность),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0 14 030</w:t>
            </w:r>
          </w:p>
        </w:tc>
        <w:tc>
          <w:tcPr>
            <w:tcW w:type="dxa" w:w="1514"/>
          </w:tcPr>
          <w:p>
            <w:pPr>
              <w:spacing w:before="20" w:after="20"/>
            </w:pPr>
            <w:r/>
            <w:r>
              <w:rPr>
                <w:rFonts w:ascii="Verdana" w:hAnsi="Verdana"/>
                <w:b w:val="0"/>
                <w:sz w:val="16"/>
              </w:rPr>
              <w:t>Прямая солнечная радиация (высокая точность),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0 14 031</w:t>
            </w:r>
          </w:p>
        </w:tc>
        <w:tc>
          <w:tcPr>
            <w:tcW w:type="dxa" w:w="1514"/>
          </w:tcPr>
          <w:p>
            <w:pPr>
              <w:spacing w:before="20" w:after="20"/>
            </w:pPr>
            <w:r/>
            <w:r>
              <w:rPr>
                <w:rFonts w:ascii="Verdana" w:hAnsi="Verdana"/>
                <w:b w:val="0"/>
                <w:sz w:val="16"/>
              </w:rPr>
              <w:t>Общая продолжительность солнечного сияния</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0 14 032</w:t>
            </w:r>
          </w:p>
        </w:tc>
        <w:tc>
          <w:tcPr>
            <w:tcW w:type="dxa" w:w="1514"/>
          </w:tcPr>
          <w:p>
            <w:pPr>
              <w:spacing w:before="20" w:after="20"/>
            </w:pPr>
            <w:r/>
            <w:r>
              <w:rPr>
                <w:rFonts w:ascii="Verdana" w:hAnsi="Verdana"/>
                <w:b w:val="0"/>
                <w:sz w:val="16"/>
              </w:rPr>
              <w:t>Общая продолжительность солнечного сияния</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0 14 033</w:t>
            </w:r>
          </w:p>
        </w:tc>
        <w:tc>
          <w:tcPr>
            <w:tcW w:type="dxa" w:w="1514"/>
          </w:tcPr>
          <w:p>
            <w:pPr>
              <w:spacing w:before="20" w:after="20"/>
            </w:pPr>
            <w:r/>
            <w:r>
              <w:rPr>
                <w:rFonts w:ascii="Verdana" w:hAnsi="Verdana"/>
                <w:b w:val="0"/>
                <w:sz w:val="16"/>
              </w:rPr>
              <w:t>Общая продолжительность солнечного сияния</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0 14 034</w:t>
            </w:r>
          </w:p>
        </w:tc>
        <w:tc>
          <w:tcPr>
            <w:tcW w:type="dxa" w:w="1514"/>
          </w:tcPr>
          <w:p>
            <w:pPr>
              <w:spacing w:before="20" w:after="20"/>
            </w:pPr>
            <w:r/>
            <w:r>
              <w:rPr>
                <w:rFonts w:ascii="Verdana" w:hAnsi="Verdana"/>
                <w:b w:val="0"/>
                <w:sz w:val="16"/>
              </w:rPr>
              <w:t>Продолжительность солнечного сияния за указанный период</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0 14 035</w:t>
            </w:r>
          </w:p>
        </w:tc>
        <w:tc>
          <w:tcPr>
            <w:tcW w:type="dxa" w:w="1514"/>
          </w:tcPr>
          <w:p>
            <w:pPr>
              <w:spacing w:before="20" w:after="20"/>
            </w:pPr>
            <w:r/>
            <w:r>
              <w:rPr>
                <w:rFonts w:ascii="Verdana" w:hAnsi="Verdana"/>
                <w:b w:val="0"/>
                <w:sz w:val="16"/>
              </w:rPr>
              <w:t>Поток солнечной радиации</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0 14 042</w:t>
            </w:r>
          </w:p>
        </w:tc>
        <w:tc>
          <w:tcPr>
            <w:tcW w:type="dxa" w:w="1514"/>
          </w:tcPr>
          <w:p>
            <w:pPr>
              <w:spacing w:before="20" w:after="20"/>
            </w:pPr>
            <w:r/>
            <w:r>
              <w:rPr>
                <w:rFonts w:ascii="Verdana" w:hAnsi="Verdana"/>
                <w:b w:val="0"/>
                <w:sz w:val="16"/>
              </w:rPr>
              <w:t>Коэффициент отражения в двух направлениях</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0 14 043</w:t>
            </w:r>
          </w:p>
        </w:tc>
        <w:tc>
          <w:tcPr>
            <w:tcW w:type="dxa" w:w="1514"/>
          </w:tcPr>
          <w:p>
            <w:pPr>
              <w:spacing w:before="20" w:after="20"/>
            </w:pPr>
            <w:r/>
            <w:r>
              <w:rPr>
                <w:rFonts w:ascii="Verdana" w:hAnsi="Verdana"/>
                <w:b w:val="0"/>
                <w:sz w:val="16"/>
              </w:rPr>
              <w:t>Излучение в канале</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B35: В излучении канала (0 14 043) используются единицы мкм для представления волнового числа.</w:t>
            </w:r>
          </w:p>
        </w:tc>
      </w:tr>
      <w:tr>
        <w:trPr>
          <w:cantSplit/>
        </w:trPr>
        <w:tc>
          <w:tcPr>
            <w:tcW w:type="dxa" w:w="1514"/>
          </w:tcPr>
          <w:p>
            <w:pPr>
              <w:spacing w:before="20" w:after="20"/>
            </w:pPr>
            <w:r/>
            <w:r>
              <w:rPr>
                <w:rFonts w:ascii="Verdana" w:hAnsi="Verdana"/>
                <w:b w:val="0"/>
                <w:sz w:val="16"/>
              </w:rPr>
              <w:t>0 14 044</w:t>
            </w:r>
          </w:p>
        </w:tc>
        <w:tc>
          <w:tcPr>
            <w:tcW w:type="dxa" w:w="1514"/>
          </w:tcPr>
          <w:p>
            <w:pPr>
              <w:spacing w:before="20" w:after="20"/>
            </w:pPr>
            <w:r/>
            <w:r>
              <w:rPr>
                <w:rFonts w:ascii="Verdana" w:hAnsi="Verdana"/>
                <w:b w:val="0"/>
                <w:sz w:val="16"/>
              </w:rPr>
              <w:t>Излучение в канале</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0 14 045</w:t>
            </w:r>
          </w:p>
        </w:tc>
        <w:tc>
          <w:tcPr>
            <w:tcW w:type="dxa" w:w="1514"/>
          </w:tcPr>
          <w:p>
            <w:pPr>
              <w:spacing w:before="20" w:after="20"/>
            </w:pPr>
            <w:r/>
            <w:r>
              <w:rPr>
                <w:rFonts w:ascii="Verdana" w:hAnsi="Verdana"/>
                <w:b w:val="0"/>
                <w:sz w:val="16"/>
              </w:rPr>
              <w:t>Излучение в канале</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B36: Для излучения в канале (0 14 045) используются единицы см для представления волнового числа.</w:t>
            </w:r>
          </w:p>
        </w:tc>
      </w:tr>
      <w:tr>
        <w:trPr>
          <w:cantSplit/>
        </w:trPr>
        <w:tc>
          <w:tcPr>
            <w:tcW w:type="dxa" w:w="1514"/>
          </w:tcPr>
          <w:p>
            <w:pPr>
              <w:spacing w:before="20" w:after="20"/>
            </w:pPr>
            <w:r/>
            <w:r>
              <w:rPr>
                <w:rFonts w:ascii="Verdana" w:hAnsi="Verdana"/>
                <w:b w:val="0"/>
                <w:sz w:val="16"/>
              </w:rPr>
              <w:t>0 14 046</w:t>
            </w:r>
          </w:p>
        </w:tc>
        <w:tc>
          <w:tcPr>
            <w:tcW w:type="dxa" w:w="1514"/>
          </w:tcPr>
          <w:p>
            <w:pPr>
              <w:spacing w:before="20" w:after="20"/>
            </w:pPr>
            <w:r/>
            <w:r>
              <w:rPr>
                <w:rFonts w:ascii="Verdana" w:hAnsi="Verdana"/>
                <w:b w:val="0"/>
                <w:sz w:val="16"/>
              </w:rPr>
              <w:t>Масштабированное излучение IASI</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B29: Для масштабированных излучений (0 14 046) было введено отклонение. Это было сделано для учета негативных излучений, которые могут быть измерены на некоторых номерах волн либо по причине воздействия шума, либо по причине остаточной последующей аподизации. Отклонение — это порядок величины, который превышает ожидаемый максимальный негативный сдвиг на основании шума прибора, в результате чего образуется достаточный предел. При этом не происходит значительного уменьшения динамического диапазона.</w:t>
            </w:r>
          </w:p>
        </w:tc>
      </w:tr>
      <w:tr>
        <w:trPr>
          <w:cantSplit/>
        </w:trPr>
        <w:tc>
          <w:tcPr>
            <w:tcW w:type="dxa" w:w="1514"/>
          </w:tcPr>
          <w:p>
            <w:pPr>
              <w:spacing w:before="20" w:after="20"/>
            </w:pPr>
            <w:r/>
            <w:r>
              <w:rPr>
                <w:rFonts w:ascii="Verdana" w:hAnsi="Verdana"/>
                <w:b w:val="0"/>
                <w:sz w:val="16"/>
              </w:rPr>
              <w:t>0 14 047</w:t>
            </w:r>
          </w:p>
        </w:tc>
        <w:tc>
          <w:tcPr>
            <w:tcW w:type="dxa" w:w="1514"/>
          </w:tcPr>
          <w:p>
            <w:pPr>
              <w:spacing w:before="20" w:after="20"/>
            </w:pPr>
            <w:r/>
            <w:r>
              <w:rPr>
                <w:rFonts w:ascii="Verdana" w:hAnsi="Verdana"/>
                <w:b w:val="0"/>
                <w:sz w:val="16"/>
              </w:rPr>
              <w:t>Масштабированное среднее излучение AVHRR</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0 14 048</w:t>
            </w:r>
          </w:p>
        </w:tc>
        <w:tc>
          <w:tcPr>
            <w:tcW w:type="dxa" w:w="1514"/>
          </w:tcPr>
          <w:p>
            <w:pPr>
              <w:spacing w:before="20" w:after="20"/>
            </w:pPr>
            <w:r/>
            <w:r>
              <w:rPr>
                <w:rFonts w:ascii="Verdana" w:hAnsi="Verdana"/>
                <w:b w:val="0"/>
                <w:sz w:val="16"/>
              </w:rPr>
              <w:t>Масштабированное излучение AVHRR со стандартным отклонением</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0 14 050</w:t>
            </w:r>
          </w:p>
        </w:tc>
        <w:tc>
          <w:tcPr>
            <w:tcW w:type="dxa" w:w="1514"/>
          </w:tcPr>
          <w:p>
            <w:pPr>
              <w:spacing w:before="20" w:after="20"/>
            </w:pPr>
            <w:r/>
            <w:r>
              <w:rPr>
                <w:rFonts w:ascii="Verdana" w:hAnsi="Verdana"/>
                <w:b w:val="0"/>
                <w:sz w:val="16"/>
              </w:rPr>
              <w:t>Излучательная способность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B69: Излучательная способность — это соотношение между количеством энергии, излучаемой конкретным объектом и количеством энергии, которая излучалась бы черным телом при той же температуре (т. е. функция Планка). Умножение на 100 дает процентную долю (и одновременно обеспечивает две цифры точности).</w:t>
            </w:r>
          </w:p>
        </w:tc>
      </w:tr>
      <w:tr>
        <w:trPr>
          <w:cantSplit/>
        </w:trPr>
        <w:tc>
          <w:tcPr>
            <w:tcW w:type="dxa" w:w="1514"/>
          </w:tcPr>
          <w:p>
            <w:pPr>
              <w:spacing w:before="20" w:after="20"/>
            </w:pPr>
            <w:r/>
            <w:r>
              <w:rPr>
                <w:rFonts w:ascii="Verdana" w:hAnsi="Verdana"/>
                <w:b w:val="0"/>
                <w:sz w:val="16"/>
              </w:rPr>
              <w:t>0 14 051</w:t>
            </w:r>
          </w:p>
        </w:tc>
        <w:tc>
          <w:tcPr>
            <w:tcW w:type="dxa" w:w="1514"/>
          </w:tcPr>
          <w:p>
            <w:pPr>
              <w:spacing w:before="20" w:after="20"/>
            </w:pPr>
            <w:r/>
            <w:r>
              <w:rPr>
                <w:rFonts w:ascii="Verdana" w:hAnsi="Verdana"/>
                <w:b w:val="0"/>
                <w:sz w:val="16"/>
              </w:rPr>
              <w:t>Прямая солнечная радиация, интегрированная за последний час</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0 14 052</w:t>
            </w:r>
          </w:p>
        </w:tc>
        <w:tc>
          <w:tcPr>
            <w:tcW w:type="dxa" w:w="1514"/>
          </w:tcPr>
          <w:p>
            <w:pPr>
              <w:spacing w:before="20" w:after="20"/>
            </w:pPr>
            <w:r/>
            <w:r>
              <w:rPr>
                <w:rFonts w:ascii="Verdana" w:hAnsi="Verdana"/>
                <w:b w:val="0"/>
                <w:sz w:val="16"/>
              </w:rPr>
              <w:t>Суммарная уходящая солнечная радиация,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0 14 053</w:t>
            </w:r>
          </w:p>
        </w:tc>
        <w:tc>
          <w:tcPr>
            <w:tcW w:type="dxa" w:w="1514"/>
          </w:tcPr>
          <w:p>
            <w:pPr>
              <w:spacing w:before="20" w:after="20"/>
            </w:pPr>
            <w:r/>
            <w:r>
              <w:rPr>
                <w:rFonts w:ascii="Verdana" w:hAnsi="Verdana"/>
                <w:b w:val="0"/>
                <w:sz w:val="16"/>
              </w:rPr>
              <w:t>Суммарная радиация (высокая точность),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0 14 054</w:t>
            </w:r>
          </w:p>
        </w:tc>
        <w:tc>
          <w:tcPr>
            <w:tcW w:type="dxa" w:w="1514"/>
          </w:tcPr>
          <w:p>
            <w:pPr>
              <w:spacing w:before="20" w:after="20"/>
            </w:pPr>
            <w:r/>
            <w:r>
              <w:rPr>
                <w:rFonts w:ascii="Verdana" w:hAnsi="Verdana"/>
                <w:b w:val="0"/>
                <w:sz w:val="16"/>
              </w:rPr>
              <w:t>Активная радиация фотосинтеза, интегрированная за указанный период</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0 14 055</w:t>
            </w:r>
          </w:p>
        </w:tc>
        <w:tc>
          <w:tcPr>
            <w:tcW w:type="dxa" w:w="1514"/>
          </w:tcPr>
          <w:p>
            <w:pPr>
              <w:spacing w:before="20" w:after="20"/>
            </w:pPr>
            <w:r/>
            <w:r>
              <w:rPr>
                <w:rFonts w:ascii="Verdana" w:hAnsi="Verdana"/>
                <w:b w:val="0"/>
                <w:sz w:val="16"/>
              </w:rPr>
              <w:t>Индекс солнечной активности</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0 14 056</w:t>
            </w:r>
          </w:p>
        </w:tc>
        <w:tc>
          <w:tcPr>
            <w:tcW w:type="dxa" w:w="1514"/>
          </w:tcPr>
          <w:p>
            <w:pPr>
              <w:spacing w:before="20" w:after="20"/>
            </w:pPr>
            <w:r/>
            <w:r>
              <w:rPr>
                <w:rFonts w:ascii="Verdana" w:hAnsi="Verdana"/>
                <w:b w:val="0"/>
                <w:sz w:val="16"/>
              </w:rPr>
              <w:t>Яркость фона</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0 14 057</w:t>
            </w:r>
          </w:p>
        </w:tc>
        <w:tc>
          <w:tcPr>
            <w:tcW w:type="dxa" w:w="1514"/>
          </w:tcPr>
          <w:p>
            <w:pPr>
              <w:spacing w:before="20" w:after="20"/>
            </w:pPr>
            <w:r/>
            <w:r>
              <w:rPr>
                <w:rFonts w:ascii="Verdana" w:hAnsi="Verdana"/>
                <w:b w:val="0"/>
                <w:sz w:val="16"/>
              </w:rPr>
              <w:t>Поток тепла в почве</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0 14 072</w:t>
            </w:r>
          </w:p>
        </w:tc>
        <w:tc>
          <w:tcPr>
            <w:tcW w:type="dxa" w:w="1514"/>
          </w:tcPr>
          <w:p>
            <w:pPr>
              <w:spacing w:before="20" w:after="20"/>
            </w:pPr>
            <w:r/>
            <w:r>
              <w:rPr>
                <w:rFonts w:ascii="Verdana" w:hAnsi="Verdana"/>
                <w:b w:val="0"/>
                <w:sz w:val="16"/>
              </w:rPr>
              <w:t>Суммарная УФ-радиация</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B83: Суммарная УФ-радиация (0 14 072) — УФ-энергия, интегрированная за указанный период для указанной спектральной полосы. Дескриптору 0 14 072 должен предшествовать дескриптор временного периода, а также рабочая длина волны спектрографа (0 02 071) и ширина диапазона спектрографа (0 02 072). Например, если дескриптор 0 14 072 используется для суммарной УФ-В радиации, то дескрипторы 0 02 071 и 0 02 072 должны указывать спектральную полосу 280–315 нм.</w:t>
            </w:r>
          </w:p>
        </w:tc>
      </w:tr>
    </w:tbl>
    <w:p/>
    <w:p>
      <w:r>
        <w:rPr>
          <w:rFonts w:ascii="Verdana" w:hAnsi="Verdana"/>
          <w:i/>
          <w:sz w:val="14"/>
        </w:rPr>
        <w:t>Note B63: Приходящей радиации следует присваивать положительные значения.</w:t>
      </w:r>
    </w:p>
    <w:p>
      <w:r>
        <w:rPr>
          <w:rFonts w:ascii="Verdana" w:hAnsi="Verdana"/>
          <w:i/>
          <w:sz w:val="14"/>
        </w:rPr>
        <w:t>Note B160: Уходящей радиации следует присваивать отрицательные значения.</w:t>
      </w:r>
    </w:p>
    <w:p>
      <w:r>
        <w:rPr>
          <w:rFonts w:ascii="Verdana" w:hAnsi="Verdana"/>
          <w:i/>
          <w:sz w:val="14"/>
        </w:rPr>
        <w:t>Note B178: Там, где величины суммируются или усредняются (например, за временной период), общее число значений, из которых получается сумма или среднее значение, может быть представлено с использованием ссылки 0 08 022.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