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Класс 15: Физические/химические составляющие</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НАЗВАНИЕ ЭЛЕМЕНТА</w:t>
            </w:r>
          </w:p>
        </w:tc>
        <w:tc>
          <w:tcPr>
            <w:tcW w:type="dxa" w:w="1514"/>
            <w:shd w:val="clear" w:color="auto" w:fill="D9D9D9"/>
          </w:tcPr>
          <w:p>
            <w:pPr>
              <w:spacing w:before="20" w:after="20"/>
            </w:pPr>
            <w:r/>
            <w:r>
              <w:rPr>
                <w:rFonts w:ascii="Verdana" w:hAnsi="Verdana"/>
                <w:b w:val="0"/>
                <w:sz w:val="16"/>
              </w:rPr>
              <w:t>ЕД. ИЗМ. BUFR</w:t>
            </w:r>
          </w:p>
        </w:tc>
        <w:tc>
          <w:tcPr>
            <w:tcW w:type="dxa" w:w="1514"/>
            <w:shd w:val="clear" w:color="auto" w:fill="D9D9D9"/>
          </w:tcPr>
          <w:p>
            <w:pPr>
              <w:spacing w:before="20" w:after="20"/>
            </w:pPr>
            <w:r/>
            <w:r>
              <w:rPr>
                <w:rFonts w:ascii="Verdana" w:hAnsi="Verdana"/>
                <w:b w:val="0"/>
                <w:sz w:val="16"/>
              </w:rPr>
              <w:t>МАСШТАБ</w:t>
            </w:r>
          </w:p>
        </w:tc>
        <w:tc>
          <w:tcPr>
            <w:tcW w:type="dxa" w:w="1514"/>
            <w:shd w:val="clear" w:color="auto" w:fill="D9D9D9"/>
          </w:tcPr>
          <w:p>
            <w:pPr>
              <w:spacing w:before="20" w:after="20"/>
            </w:pPr>
            <w:r/>
            <w:r>
              <w:rPr>
                <w:rFonts w:ascii="Verdana" w:hAnsi="Verdana"/>
                <w:b w:val="0"/>
                <w:sz w:val="16"/>
              </w:rPr>
              <w:t>НАЧ. ОТСЧ.</w:t>
            </w:r>
          </w:p>
        </w:tc>
        <w:tc>
          <w:tcPr>
            <w:tcW w:type="dxa" w:w="1514"/>
            <w:shd w:val="clear" w:color="auto" w:fill="D9D9D9"/>
          </w:tcPr>
          <w:p>
            <w:pPr>
              <w:spacing w:before="20" w:after="20"/>
            </w:pPr>
            <w:r/>
            <w:r>
              <w:rPr>
                <w:rFonts w:ascii="Verdana" w:hAnsi="Verdana"/>
                <w:b w:val="0"/>
                <w:sz w:val="16"/>
              </w:rPr>
              <w:t>БИТЫ</w:t>
            </w:r>
          </w:p>
        </w:tc>
        <w:tc>
          <w:tcPr>
            <w:tcW w:type="dxa" w:w="1514"/>
            <w:shd w:val="clear" w:color="auto" w:fill="D9D9D9"/>
          </w:tcPr>
          <w:p>
            <w:pPr>
              <w:spacing w:before="20" w:after="20"/>
            </w:pPr>
            <w:r/>
            <w:r>
              <w:rPr>
                <w:rFonts w:ascii="Verdana" w:hAnsi="Verdana"/>
                <w:b w:val="0"/>
                <w:sz w:val="16"/>
              </w:rPr>
              <w:t>ЕД. ИЗМ. CREX</w:t>
            </w:r>
          </w:p>
        </w:tc>
        <w:tc>
          <w:tcPr>
            <w:tcW w:type="dxa" w:w="1514"/>
            <w:shd w:val="clear" w:color="auto" w:fill="D9D9D9"/>
          </w:tcPr>
          <w:p>
            <w:pPr>
              <w:spacing w:before="20" w:after="20"/>
            </w:pPr>
            <w:r/>
            <w:r>
              <w:rPr>
                <w:rFonts w:ascii="Verdana" w:hAnsi="Verdana"/>
                <w:b w:val="0"/>
                <w:sz w:val="16"/>
              </w:rPr>
              <w:t>МАСШТАБ</w:t>
            </w:r>
          </w:p>
        </w:tc>
        <w:tc>
          <w:tcPr>
            <w:tcW w:type="dxa" w:w="1514"/>
            <w:shd w:val="clear" w:color="auto" w:fill="D9D9D9"/>
          </w:tcPr>
          <w:p>
            <w:pPr>
              <w:spacing w:before="20" w:after="20"/>
            </w:pPr>
            <w:r/>
            <w:r>
              <w:rPr>
                <w:rFonts w:ascii="Verdana" w:hAnsi="Verdana"/>
                <w:b w:val="0"/>
                <w:sz w:val="16"/>
              </w:rPr>
              <w:t>СИМВ.</w:t>
            </w:r>
          </w:p>
        </w:tc>
        <w:tc>
          <w:tcPr>
            <w:tcW w:type="dxa" w:w="1514"/>
            <w:shd w:val="clear" w:color="auto" w:fill="D9D9D9"/>
          </w:tcPr>
          <w:p>
            <w:pPr>
              <w:spacing w:before="20" w:after="20"/>
            </w:pPr>
            <w:r/>
            <w:r>
              <w:rPr>
                <w:rFonts w:ascii="Verdana" w:hAnsi="Verdana"/>
                <w:b w:val="0"/>
                <w:sz w:val="16"/>
              </w:rPr>
              <w:t>ПРИМЕЧАНИЕ</w:t>
            </w:r>
          </w:p>
        </w:tc>
      </w:tr>
      <w:tr>
        <w:trPr>
          <w:cantSplit/>
        </w:trPr>
        <w:tc>
          <w:tcPr>
            <w:tcW w:type="dxa" w:w="1514"/>
          </w:tcPr>
          <w:p>
            <w:pPr>
              <w:spacing w:before="20" w:after="20"/>
            </w:pPr>
            <w:r/>
            <w:r>
              <w:rPr>
                <w:rFonts w:ascii="Verdana" w:hAnsi="Verdana"/>
                <w:b w:val="0"/>
                <w:sz w:val="16"/>
              </w:rPr>
              <w:t>0 15 001</w:t>
            </w:r>
          </w:p>
        </w:tc>
        <w:tc>
          <w:tcPr>
            <w:tcW w:type="dxa" w:w="1514"/>
          </w:tcPr>
          <w:p>
            <w:pPr>
              <w:spacing w:before="20" w:after="20"/>
            </w:pPr>
            <w:r/>
            <w:r>
              <w:rPr>
                <w:rFonts w:ascii="Verdana" w:hAnsi="Verdana"/>
                <w:b w:val="0"/>
                <w:sz w:val="16"/>
              </w:rPr>
              <w:t>Общее содержание озона</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0 15 002</w:t>
            </w:r>
          </w:p>
        </w:tc>
        <w:tc>
          <w:tcPr>
            <w:tcW w:type="dxa" w:w="1514"/>
          </w:tcPr>
          <w:p>
            <w:pPr>
              <w:spacing w:before="20" w:after="20"/>
            </w:pPr>
            <w:r/>
            <w:r>
              <w:rPr>
                <w:rFonts w:ascii="Verdana" w:hAnsi="Verdana"/>
                <w:b w:val="0"/>
                <w:sz w:val="16"/>
              </w:rPr>
              <w:t>Воздушная масса (наклонная траектория на высоте 22 км)</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0 15 003</w:t>
            </w:r>
          </w:p>
        </w:tc>
        <w:tc>
          <w:tcPr>
            <w:tcW w:type="dxa" w:w="1514"/>
          </w:tcPr>
          <w:p>
            <w:pPr>
              <w:spacing w:before="20" w:after="20"/>
            </w:pPr>
            <w:r/>
            <w:r>
              <w:rPr>
                <w:rFonts w:ascii="Verdana" w:hAnsi="Verdana"/>
                <w:b w:val="0"/>
                <w:sz w:val="16"/>
              </w:rPr>
              <w:t>Измеренное парциальное давление озона (зондирование)</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nbar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B1: 0 15 003 — это парциальное давление озона, измеренное на уровне давления, определяемого 0 07 004.</w:t>
            </w:r>
          </w:p>
        </w:tc>
      </w:tr>
      <w:tr>
        <w:trPr>
          <w:cantSplit/>
        </w:trPr>
        <w:tc>
          <w:tcPr>
            <w:tcW w:type="dxa" w:w="1514"/>
          </w:tcPr>
          <w:p>
            <w:pPr>
              <w:spacing w:before="20" w:after="20"/>
            </w:pPr>
            <w:r/>
            <w:r>
              <w:rPr>
                <w:rFonts w:ascii="Verdana" w:hAnsi="Verdana"/>
                <w:b w:val="0"/>
                <w:sz w:val="16"/>
              </w:rPr>
              <w:t>0 15 004</w:t>
            </w:r>
          </w:p>
        </w:tc>
        <w:tc>
          <w:tcPr>
            <w:tcW w:type="dxa" w:w="1514"/>
          </w:tcPr>
          <w:p>
            <w:pPr>
              <w:spacing w:before="20" w:after="20"/>
            </w:pPr>
            <w:r/>
            <w:r>
              <w:rPr>
                <w:rFonts w:ascii="Verdana" w:hAnsi="Verdana"/>
                <w:b w:val="0"/>
                <w:sz w:val="16"/>
              </w:rPr>
              <w:t>Коэффициент корректировки зондирования озона</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B2: 0 15 004 — коэффициент корректировки (CF), определяемый как: CF = TOI/TOS, где TOI — интегрированное значение озона, полученное «одновременно с зондированием» по спектрофотометру Добсона или Брюера на станции или «поблизости», а TOS — суммарный озон, рассчитанный по данным зондирования. TOS — сумма интегрированного озона ниже самого низкого уровня давления, достигнутого зондированием, и рассчитанного вышеуказанного количества. В отсутствие каких-либо измерений спектрофотомера, CF = отсутствующее значение.</w:t>
            </w:r>
          </w:p>
        </w:tc>
      </w:tr>
      <w:tr>
        <w:trPr>
          <w:cantSplit/>
        </w:trPr>
        <w:tc>
          <w:tcPr>
            <w:tcW w:type="dxa" w:w="1514"/>
          </w:tcPr>
          <w:p>
            <w:pPr>
              <w:spacing w:before="20" w:after="20"/>
            </w:pPr>
            <w:r/>
            <w:r>
              <w:rPr>
                <w:rFonts w:ascii="Verdana" w:hAnsi="Verdana"/>
                <w:b w:val="0"/>
                <w:sz w:val="16"/>
              </w:rPr>
              <w:t>0 15 005</w:t>
            </w:r>
          </w:p>
        </w:tc>
        <w:tc>
          <w:tcPr>
            <w:tcW w:type="dxa" w:w="1514"/>
          </w:tcPr>
          <w:p>
            <w:pPr>
              <w:spacing w:before="20" w:after="20"/>
            </w:pPr>
            <w:r/>
            <w:r>
              <w:rPr>
                <w:rFonts w:ascii="Verdana" w:hAnsi="Verdana"/>
                <w:b w:val="0"/>
                <w:sz w:val="16"/>
              </w:rPr>
              <w:t>p озона</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B3: 0 15 005 — величина, получаемая в результате вертикальной интеграции значений зондирования (0 15 003), измеренных ниже самого низкого уровня давления, достигнутого зондом, умноженной на 0 15 004.</w:t>
            </w:r>
          </w:p>
        </w:tc>
      </w:tr>
      <w:tr>
        <w:trPr>
          <w:cantSplit/>
        </w:trPr>
        <w:tc>
          <w:tcPr>
            <w:tcW w:type="dxa" w:w="1514"/>
          </w:tcPr>
          <w:p>
            <w:pPr>
              <w:spacing w:before="20" w:after="20"/>
            </w:pPr>
            <w:r/>
            <w:r>
              <w:rPr>
                <w:rFonts w:ascii="Verdana" w:hAnsi="Verdana"/>
                <w:b w:val="0"/>
                <w:sz w:val="16"/>
              </w:rPr>
              <w:t>0 15 006</w:t>
            </w:r>
          </w:p>
        </w:tc>
        <w:tc>
          <w:tcPr>
            <w:tcW w:type="dxa" w:w="1514"/>
          </w:tcPr>
          <w:p>
            <w:pPr>
              <w:spacing w:before="20" w:after="20"/>
            </w:pPr>
            <w:r/>
            <w:r>
              <w:rPr>
                <w:rFonts w:ascii="Verdana" w:hAnsi="Verdana"/>
                <w:b w:val="0"/>
                <w:sz w:val="16"/>
              </w:rPr>
              <w:t>Log10 численной плотности атмосферы</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1800000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0 15 008</w:t>
            </w:r>
          </w:p>
        </w:tc>
        <w:tc>
          <w:tcPr>
            <w:tcW w:type="dxa" w:w="1514"/>
          </w:tcPr>
          <w:p>
            <w:pPr>
              <w:spacing w:before="20" w:after="20"/>
            </w:pPr>
            <w:r/>
            <w:r>
              <w:rPr>
                <w:rFonts w:ascii="Verdana" w:hAnsi="Verdana"/>
                <w:b w:val="0"/>
                <w:sz w:val="16"/>
              </w:rPr>
              <w:t>Существенный компонент состава смеси (по объему)</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0 15 009</w:t>
            </w:r>
          </w:p>
        </w:tc>
        <w:tc>
          <w:tcPr>
            <w:tcW w:type="dxa" w:w="1514"/>
          </w:tcPr>
          <w:p>
            <w:pPr>
              <w:spacing w:before="20" w:after="20"/>
            </w:pPr>
            <w:r/>
            <w:r>
              <w:rPr>
                <w:rFonts w:ascii="Verdana" w:hAnsi="Verdana"/>
                <w:b w:val="0"/>
                <w:sz w:val="16"/>
              </w:rPr>
              <w:t>Log10 численной плотности озона</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1200000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0 15 011</w:t>
            </w:r>
          </w:p>
        </w:tc>
        <w:tc>
          <w:tcPr>
            <w:tcW w:type="dxa" w:w="1514"/>
          </w:tcPr>
          <w:p>
            <w:pPr>
              <w:spacing w:before="20" w:after="20"/>
            </w:pPr>
            <w:r/>
            <w:r>
              <w:rPr>
                <w:rFonts w:ascii="Verdana" w:hAnsi="Verdana"/>
                <w:b w:val="0"/>
                <w:sz w:val="16"/>
              </w:rPr>
              <w:t>Log10 суммарной плотности электрона</w:t>
            </w:r>
          </w:p>
        </w:tc>
        <w:tc>
          <w:tcPr>
            <w:tcW w:type="dxa" w:w="1514"/>
          </w:tcPr>
          <w:p>
            <w:pPr>
              <w:spacing w:before="20" w:after="20"/>
            </w:pPr>
            <w:r/>
            <w:r>
              <w:rPr>
                <w:rFonts w:ascii="Verdana" w:hAnsi="Verdana"/>
                <w:sz w:val="16"/>
              </w:rPr>
              <w:t>log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14000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log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0 15 012</w:t>
            </w:r>
          </w:p>
        </w:tc>
        <w:tc>
          <w:tcPr>
            <w:tcW w:type="dxa" w:w="1514"/>
          </w:tcPr>
          <w:p>
            <w:pPr>
              <w:spacing w:before="20" w:after="20"/>
            </w:pPr>
            <w:r/>
            <w:r>
              <w:rPr>
                <w:rFonts w:ascii="Verdana" w:hAnsi="Verdana"/>
                <w:b w:val="0"/>
                <w:sz w:val="16"/>
              </w:rPr>
              <w:t>Общее число электронов на квадратный метр</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0 15 015</w:t>
            </w:r>
          </w:p>
        </w:tc>
        <w:tc>
          <w:tcPr>
            <w:tcW w:type="dxa" w:w="1514"/>
          </w:tcPr>
          <w:p>
            <w:pPr>
              <w:spacing w:before="20" w:after="20"/>
            </w:pPr>
            <w:r/>
            <w:r>
              <w:rPr>
                <w:rFonts w:ascii="Verdana" w:hAnsi="Verdana"/>
                <w:b w:val="0"/>
                <w:sz w:val="16"/>
              </w:rPr>
              <w:t>Максимальный спектральный компонент изображения до нормализации</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0 15 020</w:t>
            </w:r>
          </w:p>
        </w:tc>
        <w:tc>
          <w:tcPr>
            <w:tcW w:type="dxa" w:w="1514"/>
          </w:tcPr>
          <w:p>
            <w:pPr>
              <w:spacing w:before="20" w:after="20"/>
            </w:pPr>
            <w:r/>
            <w:r>
              <w:rPr>
                <w:rFonts w:ascii="Verdana" w:hAnsi="Verdana"/>
                <w:b w:val="0"/>
                <w:sz w:val="16"/>
              </w:rPr>
              <w:t>Интегральная плотность озона</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0 15 021</w:t>
            </w:r>
          </w:p>
        </w:tc>
        <w:tc>
          <w:tcPr>
            <w:tcW w:type="dxa" w:w="1514"/>
          </w:tcPr>
          <w:p>
            <w:pPr>
              <w:spacing w:before="20" w:after="20"/>
            </w:pPr>
            <w:r/>
            <w:r>
              <w:rPr>
                <w:rFonts w:ascii="Verdana" w:hAnsi="Verdana"/>
                <w:b w:val="0"/>
                <w:sz w:val="16"/>
              </w:rPr>
              <w:t>Интегральная плотность массы</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0 15 024</w:t>
            </w:r>
          </w:p>
        </w:tc>
        <w:tc>
          <w:tcPr>
            <w:tcW w:type="dxa" w:w="1514"/>
          </w:tcPr>
          <w:p>
            <w:pPr>
              <w:spacing w:before="20" w:after="20"/>
            </w:pPr>
            <w:r/>
            <w:r>
              <w:rPr>
                <w:rFonts w:ascii="Verdana" w:hAnsi="Verdana"/>
                <w:b w:val="0"/>
                <w:sz w:val="16"/>
              </w:rPr>
              <w:t>Оптическая плотность</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0 15 025</w:t>
            </w:r>
          </w:p>
        </w:tc>
        <w:tc>
          <w:tcPr>
            <w:tcW w:type="dxa" w:w="1514"/>
          </w:tcPr>
          <w:p>
            <w:pPr>
              <w:spacing w:before="20" w:after="20"/>
            </w:pPr>
            <w:r/>
            <w:r>
              <w:rPr>
                <w:rFonts w:ascii="Verdana" w:hAnsi="Verdana"/>
                <w:b w:val="0"/>
                <w:sz w:val="16"/>
              </w:rPr>
              <w:t>Тип загрязняющего вещества</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Кодовая таблица</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0 15 026</w:t>
            </w:r>
          </w:p>
        </w:tc>
        <w:tc>
          <w:tcPr>
            <w:tcW w:type="dxa" w:w="1514"/>
          </w:tcPr>
          <w:p>
            <w:pPr>
              <w:spacing w:before="20" w:after="20"/>
            </w:pPr>
            <w:r/>
            <w:r>
              <w:rPr>
                <w:rFonts w:ascii="Verdana" w:hAnsi="Verdana"/>
                <w:b w:val="0"/>
                <w:sz w:val="16"/>
              </w:rPr>
              <w:t>Концентрация загрязняющего вещества (моль·моль-1)</w:t>
            </w:r>
          </w:p>
        </w:tc>
        <w:tc>
          <w:tcPr>
            <w:tcW w:type="dxa" w:w="1514"/>
          </w:tcPr>
          <w:p>
            <w:pPr>
              <w:spacing w:before="20" w:after="20"/>
            </w:pPr>
            <w:r/>
            <w:r>
              <w:rPr>
                <w:rFonts w:ascii="Verdana" w:hAnsi="Verdana"/>
                <w:sz w:val="16"/>
              </w:rPr>
              <w:t>mol/mol</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mol/mol</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0 15 027</w:t>
            </w:r>
          </w:p>
        </w:tc>
        <w:tc>
          <w:tcPr>
            <w:tcW w:type="dxa" w:w="1514"/>
          </w:tcPr>
          <w:p>
            <w:pPr>
              <w:spacing w:before="20" w:after="20"/>
            </w:pPr>
            <w:r/>
            <w:r>
              <w:rPr>
                <w:rFonts w:ascii="Verdana" w:hAnsi="Verdana"/>
                <w:b w:val="0"/>
                <w:sz w:val="16"/>
              </w:rPr>
              <w:t>Концентрация загрязняющего вещества (кг·м-3)</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0 15 028</w:t>
            </w:r>
          </w:p>
        </w:tc>
        <w:tc>
          <w:tcPr>
            <w:tcW w:type="dxa" w:w="1514"/>
          </w:tcPr>
          <w:p>
            <w:pPr>
              <w:spacing w:before="20" w:after="20"/>
            </w:pPr>
            <w:r/>
            <w:r>
              <w:rPr>
                <w:rFonts w:ascii="Verdana" w:hAnsi="Verdana"/>
                <w:b w:val="0"/>
                <w:sz w:val="16"/>
              </w:rPr>
              <w:t>Молярная доля атмосферной составляющей/ загрязняющего вещества атмосферы в сухом воздухе</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0 15 029</w:t>
            </w:r>
          </w:p>
        </w:tc>
        <w:tc>
          <w:tcPr>
            <w:tcW w:type="dxa" w:w="1514"/>
          </w:tcPr>
          <w:p>
            <w:pPr>
              <w:spacing w:before="20" w:after="20"/>
            </w:pPr>
            <w:r/>
            <w:r>
              <w:rPr>
                <w:rFonts w:ascii="Verdana" w:hAnsi="Verdana"/>
                <w:b w:val="0"/>
                <w:sz w:val="16"/>
              </w:rPr>
              <w:t>Коэффициент ослабления</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0 15 030</w:t>
            </w:r>
          </w:p>
        </w:tc>
        <w:tc>
          <w:tcPr>
            <w:tcW w:type="dxa" w:w="1514"/>
          </w:tcPr>
          <w:p>
            <w:pPr>
              <w:spacing w:before="20" w:after="20"/>
            </w:pPr>
            <w:r/>
            <w:r>
              <w:rPr>
                <w:rFonts w:ascii="Verdana" w:hAnsi="Verdana"/>
                <w:b w:val="0"/>
                <w:sz w:val="16"/>
              </w:rPr>
              <w:t>Индекс аэрозольного загрязнения</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B79: Для этого дескриптора, числа менее –1 указывают на преобладание рассеивающих аэрозолей, концентрация которых увеличивается по мере увеличения отрицательного числа. Числа более +1 указывают на преобладание поглощающих аэрозолей, концентрация которых увеличивается по мере увеличения положительного числа. Числа между –1 и +1 указывают на облака или шум.</w:t>
            </w:r>
          </w:p>
        </w:tc>
      </w:tr>
      <w:tr>
        <w:trPr>
          <w:cantSplit/>
        </w:trPr>
        <w:tc>
          <w:tcPr>
            <w:tcW w:type="dxa" w:w="1514"/>
          </w:tcPr>
          <w:p>
            <w:pPr>
              <w:spacing w:before="20" w:after="20"/>
            </w:pPr>
            <w:r/>
            <w:r>
              <w:rPr>
                <w:rFonts w:ascii="Verdana" w:hAnsi="Verdana"/>
                <w:b w:val="0"/>
                <w:sz w:val="16"/>
              </w:rPr>
              <w:t>0 15 031</w:t>
            </w:r>
          </w:p>
        </w:tc>
        <w:tc>
          <w:tcPr>
            <w:tcW w:type="dxa" w:w="1514"/>
          </w:tcPr>
          <w:p>
            <w:pPr>
              <w:spacing w:before="20" w:after="20"/>
            </w:pPr>
            <w:r/>
            <w:r>
              <w:rPr>
                <w:rFonts w:ascii="Verdana" w:hAnsi="Verdana"/>
                <w:b w:val="0"/>
                <w:sz w:val="16"/>
              </w:rPr>
              <w:t>Задержка спутникового сигнала при прохождении через атмосферу</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0 15 032</w:t>
            </w:r>
          </w:p>
        </w:tc>
        <w:tc>
          <w:tcPr>
            <w:tcW w:type="dxa" w:w="1514"/>
          </w:tcPr>
          <w:p>
            <w:pPr>
              <w:spacing w:before="20" w:after="20"/>
            </w:pPr>
            <w:r/>
            <w:r>
              <w:rPr>
                <w:rFonts w:ascii="Verdana" w:hAnsi="Verdana"/>
                <w:b w:val="0"/>
                <w:sz w:val="16"/>
              </w:rPr>
              <w:t>Оцениваемая ошибка в задержке при прохождении сигнала через атмосферу</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0 15 033</w:t>
            </w:r>
          </w:p>
        </w:tc>
        <w:tc>
          <w:tcPr>
            <w:tcW w:type="dxa" w:w="1514"/>
          </w:tcPr>
          <w:p>
            <w:pPr>
              <w:spacing w:before="20" w:after="20"/>
            </w:pPr>
            <w:r/>
            <w:r>
              <w:rPr>
                <w:rFonts w:ascii="Verdana" w:hAnsi="Verdana"/>
                <w:b w:val="0"/>
                <w:sz w:val="16"/>
              </w:rPr>
              <w:t>Разность задержек прохождения для горизонтальных проекций при экстремальных значениях сканирования</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0 15 034</w:t>
            </w:r>
          </w:p>
        </w:tc>
        <w:tc>
          <w:tcPr>
            <w:tcW w:type="dxa" w:w="1514"/>
          </w:tcPr>
          <w:p>
            <w:pPr>
              <w:spacing w:before="20" w:after="20"/>
            </w:pPr>
            <w:r/>
            <w:r>
              <w:rPr>
                <w:rFonts w:ascii="Verdana" w:hAnsi="Verdana"/>
                <w:b w:val="0"/>
                <w:sz w:val="16"/>
              </w:rPr>
              <w:t>Оцениваемая ошибка в разнице задержки прохождения</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0 15 035</w:t>
            </w:r>
          </w:p>
        </w:tc>
        <w:tc>
          <w:tcPr>
            <w:tcW w:type="dxa" w:w="1514"/>
          </w:tcPr>
          <w:p>
            <w:pPr>
              <w:spacing w:before="20" w:after="20"/>
            </w:pPr>
            <w:r/>
            <w:r>
              <w:rPr>
                <w:rFonts w:ascii="Verdana" w:hAnsi="Verdana"/>
                <w:b w:val="0"/>
                <w:sz w:val="16"/>
              </w:rPr>
              <w:t>Компонент задержки вертикального прохождения из-за водяного пара</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0 15 036</w:t>
            </w:r>
          </w:p>
        </w:tc>
        <w:tc>
          <w:tcPr>
            <w:tcW w:type="dxa" w:w="1514"/>
          </w:tcPr>
          <w:p>
            <w:pPr>
              <w:spacing w:before="20" w:after="20"/>
            </w:pPr>
            <w:r/>
            <w:r>
              <w:rPr>
                <w:rFonts w:ascii="Verdana" w:hAnsi="Verdana"/>
                <w:b w:val="0"/>
                <w:sz w:val="16"/>
              </w:rPr>
              <w:t>Атмосферная преломляющая способность</w:t>
            </w:r>
          </w:p>
        </w:tc>
        <w:tc>
          <w:tcPr>
            <w:tcW w:type="dxa" w:w="1514"/>
          </w:tcPr>
          <w:p>
            <w:pPr>
              <w:spacing w:before="20" w:after="20"/>
            </w:pPr>
            <w:r/>
            <w:r>
              <w:rPr>
                <w:rFonts w:ascii="Verdana" w:hAnsi="Verdana"/>
                <w:sz w:val="16"/>
              </w:rPr>
              <w:t>N units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N units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B142: Преломляющая способность N соотносится с показателем преломления n согласно формуле N = 106 (n – 1). В связи с этим N является безразмерной величиной, но величины, рассчитанные с помощью этой формулы, по договоренности, описываются в «единицах N».</w:t>
            </w:r>
          </w:p>
        </w:tc>
      </w:tr>
      <w:tr>
        <w:trPr>
          <w:cantSplit/>
        </w:trPr>
        <w:tc>
          <w:tcPr>
            <w:tcW w:type="dxa" w:w="1514"/>
          </w:tcPr>
          <w:p>
            <w:pPr>
              <w:spacing w:before="20" w:after="20"/>
            </w:pPr>
            <w:r/>
            <w:r>
              <w:rPr>
                <w:rFonts w:ascii="Verdana" w:hAnsi="Verdana"/>
                <w:b w:val="0"/>
                <w:sz w:val="16"/>
              </w:rPr>
              <w:t>0 15 037</w:t>
            </w:r>
          </w:p>
        </w:tc>
        <w:tc>
          <w:tcPr>
            <w:tcW w:type="dxa" w:w="1514"/>
          </w:tcPr>
          <w:p>
            <w:pPr>
              <w:spacing w:before="20" w:after="20"/>
            </w:pPr>
            <w:r/>
            <w:r>
              <w:rPr>
                <w:rFonts w:ascii="Verdana" w:hAnsi="Verdana"/>
                <w:b w:val="0"/>
                <w:sz w:val="16"/>
              </w:rPr>
              <w:t>Угол изгиба</w:t>
            </w:r>
          </w:p>
        </w:tc>
        <w:tc>
          <w:tcPr>
            <w:tcW w:type="dxa" w:w="1514"/>
          </w:tcPr>
          <w:p>
            <w:pPr>
              <w:spacing w:before="20" w:after="20"/>
            </w:pPr>
            <w:r/>
            <w:r>
              <w:rPr>
                <w:rFonts w:ascii="Verdana" w:hAnsi="Verdana"/>
                <w:sz w:val="16"/>
              </w:rPr>
              <w:t>rad</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-100000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rad</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0 15 041</w:t>
            </w:r>
          </w:p>
        </w:tc>
        <w:tc>
          <w:tcPr>
            <w:tcW w:type="dxa" w:w="1514"/>
          </w:tcPr>
          <w:p>
            <w:pPr>
              <w:spacing w:before="20" w:after="20"/>
            </w:pPr>
            <w:r/>
            <w:r>
              <w:rPr>
                <w:rFonts w:ascii="Verdana" w:hAnsi="Verdana"/>
                <w:b w:val="0"/>
                <w:sz w:val="16"/>
              </w:rPr>
              <w:t>Индекс двуокиси серы</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-1200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B78: Для этого дескриптора, числа более +6 указывают на загрязнение двуокисью серы, интенсивность которого увеличивается по мере увеличения положительного числа. Число вычисляется по значению измерения в единицах Добсона при отсутствии конкретной температуры и расчетного профиля концентрации, которые могут не быть близки к фактическому состоянию атмосферы. Вследствие этих неточностей сообщается как числовой указатель.</w:t>
            </w:r>
          </w:p>
        </w:tc>
      </w:tr>
      <w:tr>
        <w:trPr>
          <w:cantSplit/>
        </w:trPr>
        <w:tc>
          <w:tcPr>
            <w:tcW w:type="dxa" w:w="1514"/>
          </w:tcPr>
          <w:p>
            <w:pPr>
              <w:spacing w:before="20" w:after="20"/>
            </w:pPr>
            <w:r/>
            <w:r>
              <w:rPr>
                <w:rFonts w:ascii="Verdana" w:hAnsi="Verdana"/>
                <w:b w:val="0"/>
                <w:sz w:val="16"/>
              </w:rPr>
              <w:t>0 15 042</w:t>
            </w:r>
          </w:p>
        </w:tc>
        <w:tc>
          <w:tcPr>
            <w:tcW w:type="dxa" w:w="1514"/>
          </w:tcPr>
          <w:p>
            <w:pPr>
              <w:spacing w:before="20" w:after="20"/>
            </w:pPr>
            <w:r/>
            <w:r>
              <w:rPr>
                <w:rFonts w:ascii="Verdana" w:hAnsi="Verdana"/>
                <w:b w:val="0"/>
                <w:sz w:val="16"/>
              </w:rPr>
              <w:t>Отражательная способность</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0 15 045</w:t>
            </w:r>
          </w:p>
        </w:tc>
        <w:tc>
          <w:tcPr>
            <w:tcW w:type="dxa" w:w="1514"/>
          </w:tcPr>
          <w:p>
            <w:pPr>
              <w:spacing w:before="20" w:after="20"/>
            </w:pPr>
            <w:r/>
            <w:r>
              <w:rPr>
                <w:rFonts w:ascii="Verdana" w:hAnsi="Verdana"/>
                <w:b w:val="0"/>
                <w:sz w:val="16"/>
              </w:rPr>
              <w:t>Двуокись серы</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B77: Для этого дескриптора, отрицательные значения указывают на помехи, некачественную калибровку или присутствие поглощающих аэрозолей. Сохранение этих значений позволяет получить более качественные последующие оценки погрешности калибровки.</w:t>
            </w:r>
          </w:p>
        </w:tc>
      </w:tr>
      <w:tr>
        <w:trPr>
          <w:cantSplit/>
        </w:trPr>
        <w:tc>
          <w:tcPr>
            <w:tcW w:type="dxa" w:w="1514"/>
          </w:tcPr>
          <w:p>
            <w:pPr>
              <w:spacing w:before="20" w:after="20"/>
            </w:pPr>
            <w:r/>
            <w:r>
              <w:rPr>
                <w:rFonts w:ascii="Verdana" w:hAnsi="Verdana"/>
                <w:b w:val="0"/>
                <w:sz w:val="16"/>
              </w:rPr>
              <w:t>0 15 046</w:t>
            </w:r>
          </w:p>
        </w:tc>
        <w:tc>
          <w:tcPr>
            <w:tcW w:type="dxa" w:w="1514"/>
          </w:tcPr>
          <w:p>
            <w:pPr>
              <w:spacing w:before="20" w:after="20"/>
            </w:pPr>
            <w:r/>
            <w:r>
              <w:rPr>
                <w:rFonts w:ascii="Verdana" w:hAnsi="Verdana"/>
                <w:b w:val="0"/>
                <w:sz w:val="16"/>
              </w:rPr>
              <w:t>Индекс вулканического загрязнения</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B80: Для этого дескриптора, единицы представляют климатологическое стандартное отклонение значения тропосферного озона для заданной широты. Например, значение величиной 5,0 указывает профиль со значением тропосферного озона на 5,0 стандартных отклонений больше, чем среднее климатологическое.</w:t>
            </w:r>
          </w:p>
        </w:tc>
      </w:tr>
      <w:tr>
        <w:trPr>
          <w:cantSplit/>
        </w:trPr>
        <w:tc>
          <w:tcPr>
            <w:tcW w:type="dxa" w:w="1514"/>
          </w:tcPr>
          <w:p>
            <w:pPr>
              <w:spacing w:before="20" w:after="20"/>
            </w:pPr>
            <w:r/>
            <w:r>
              <w:rPr>
                <w:rFonts w:ascii="Verdana" w:hAnsi="Verdana"/>
                <w:b w:val="0"/>
                <w:sz w:val="16"/>
              </w:rPr>
              <w:t>0 15 049</w:t>
            </w:r>
          </w:p>
        </w:tc>
        <w:tc>
          <w:tcPr>
            <w:tcW w:type="dxa" w:w="1514"/>
          </w:tcPr>
          <w:p>
            <w:pPr>
              <w:spacing w:before="20" w:after="20"/>
            </w:pPr>
            <w:r/>
            <w:r>
              <w:rPr>
                <w:rFonts w:ascii="Verdana" w:hAnsi="Verdana"/>
                <w:b w:val="0"/>
                <w:sz w:val="16"/>
              </w:rPr>
              <w:t>Показатель экспоненты при длине волны в законе Ангстрема для аэрозолей</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0 15 051</w:t>
            </w:r>
          </w:p>
        </w:tc>
        <w:tc>
          <w:tcPr>
            <w:tcW w:type="dxa" w:w="1514"/>
          </w:tcPr>
          <w:p>
            <w:pPr>
              <w:spacing w:before="20" w:after="20"/>
            </w:pPr>
            <w:r/>
            <w:r>
              <w:rPr>
                <w:rFonts w:ascii="Verdana" w:hAnsi="Verdana"/>
                <w:b w:val="0"/>
                <w:sz w:val="16"/>
              </w:rPr>
              <w:t>Метеорологическая оптическая дальность</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0 15 052</w:t>
            </w:r>
          </w:p>
        </w:tc>
        <w:tc>
          <w:tcPr>
            <w:tcW w:type="dxa" w:w="1514"/>
          </w:tcPr>
          <w:p>
            <w:pPr>
              <w:spacing w:before="20" w:after="20"/>
            </w:pPr>
            <w:r/>
            <w:r>
              <w:rPr>
                <w:rFonts w:ascii="Verdana" w:hAnsi="Verdana"/>
                <w:b w:val="0"/>
                <w:sz w:val="16"/>
              </w:rPr>
              <w:t>Log численной плотности аэрозольных 10 частиц с диаметром более 5 нм</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0 15 053</w:t>
            </w:r>
          </w:p>
        </w:tc>
        <w:tc>
          <w:tcPr>
            <w:tcW w:type="dxa" w:w="1514"/>
          </w:tcPr>
          <w:p>
            <w:pPr>
              <w:spacing w:before="20" w:after="20"/>
            </w:pPr>
            <w:r/>
            <w:r>
              <w:rPr>
                <w:rFonts w:ascii="Verdana" w:hAnsi="Verdana"/>
                <w:b w:val="0"/>
                <w:sz w:val="16"/>
              </w:rPr>
              <w:t>Log численной плотности аэрозольных 10 частиц с диаметром более 14 нм</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600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0 15 054</w:t>
            </w:r>
          </w:p>
        </w:tc>
        <w:tc>
          <w:tcPr>
            <w:tcW w:type="dxa" w:w="1514"/>
          </w:tcPr>
          <w:p>
            <w:pPr>
              <w:spacing w:before="20" w:after="20"/>
            </w:pPr>
            <w:r/>
            <w:r>
              <w:rPr>
                <w:rFonts w:ascii="Verdana" w:hAnsi="Verdana"/>
                <w:b w:val="0"/>
                <w:sz w:val="16"/>
              </w:rPr>
              <w:t>Log численной плотности аэрозольных 10 частиц с диаметром от 0,25 до 2,5 μм</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550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0 15 055</w:t>
            </w:r>
          </w:p>
        </w:tc>
        <w:tc>
          <w:tcPr>
            <w:tcW w:type="dxa" w:w="1514"/>
          </w:tcPr>
          <w:p>
            <w:pPr>
              <w:spacing w:before="20" w:after="20"/>
            </w:pPr>
            <w:r/>
            <w:r>
              <w:rPr>
                <w:rFonts w:ascii="Verdana" w:hAnsi="Verdana"/>
                <w:b w:val="0"/>
                <w:sz w:val="16"/>
              </w:rPr>
              <w:t>Доля нелетучих аэрозолей</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0 15 062</w:t>
            </w:r>
          </w:p>
        </w:tc>
        <w:tc>
          <w:tcPr>
            <w:tcW w:type="dxa" w:w="1514"/>
          </w:tcPr>
          <w:p>
            <w:pPr>
              <w:spacing w:before="20" w:after="20"/>
            </w:pPr>
            <w:r/>
            <w:r>
              <w:rPr>
                <w:rFonts w:ascii="Verdana" w:hAnsi="Verdana"/>
                <w:b w:val="0"/>
                <w:sz w:val="16"/>
              </w:rPr>
              <w:t>Оптическая толщина аэрозоля</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Числовой</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0 15 063</w:t>
            </w:r>
          </w:p>
        </w:tc>
        <w:tc>
          <w:tcPr>
            <w:tcW w:type="dxa" w:w="1514"/>
          </w:tcPr>
          <w:p>
            <w:pPr>
              <w:spacing w:before="20" w:after="20"/>
            </w:pPr>
            <w:r/>
            <w:r>
              <w:rPr>
                <w:rFonts w:ascii="Verdana" w:hAnsi="Verdana"/>
                <w:b w:val="0"/>
                <w:sz w:val="16"/>
              </w:rPr>
              <w:t>Затухающее обратное рассеяние</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0 15 064</w:t>
            </w:r>
          </w:p>
        </w:tc>
        <w:tc>
          <w:tcPr>
            <w:tcW w:type="dxa" w:w="1514"/>
          </w:tcPr>
          <w:p>
            <w:pPr>
              <w:spacing w:before="20" w:after="20"/>
            </w:pPr>
            <w:r/>
            <w:r>
              <w:rPr>
                <w:rFonts w:ascii="Verdana" w:hAnsi="Verdana"/>
                <w:b w:val="0"/>
                <w:sz w:val="16"/>
              </w:rPr>
              <w:t>Неопределенность затухающего обратного рассеяния</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0 15 065</w:t>
            </w:r>
          </w:p>
        </w:tc>
        <w:tc>
          <w:tcPr>
            <w:tcW w:type="dxa" w:w="1514"/>
          </w:tcPr>
          <w:p>
            <w:pPr>
              <w:spacing w:before="20" w:after="20"/>
            </w:pPr>
            <w:r/>
            <w:r>
              <w:rPr>
                <w:rFonts w:ascii="Verdana" w:hAnsi="Verdana"/>
                <w:b w:val="0"/>
                <w:sz w:val="16"/>
              </w:rPr>
              <w:t>Коэффициент обратного рассеяния частиц</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0 15 066</w:t>
            </w:r>
          </w:p>
        </w:tc>
        <w:tc>
          <w:tcPr>
            <w:tcW w:type="dxa" w:w="1514"/>
          </w:tcPr>
          <w:p>
            <w:pPr>
              <w:spacing w:before="20" w:after="20"/>
            </w:pPr>
            <w:r/>
            <w:r>
              <w:rPr>
                <w:rFonts w:ascii="Verdana" w:hAnsi="Verdana"/>
                <w:b w:val="0"/>
                <w:sz w:val="16"/>
              </w:rPr>
              <w:t>Неопределенность коэффициента обратного рассеяния частиц</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0 15 067</w:t>
            </w:r>
          </w:p>
        </w:tc>
        <w:tc>
          <w:tcPr>
            <w:tcW w:type="dxa" w:w="1514"/>
          </w:tcPr>
          <w:p>
            <w:pPr>
              <w:spacing w:before="20" w:after="20"/>
            </w:pPr>
            <w:r/>
            <w:r>
              <w:rPr>
                <w:rFonts w:ascii="Verdana" w:hAnsi="Verdana"/>
                <w:b w:val="0"/>
                <w:sz w:val="16"/>
              </w:rPr>
              <w:t>Коэффициент экстинкции частиц</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0 15 068</w:t>
            </w:r>
          </w:p>
        </w:tc>
        <w:tc>
          <w:tcPr>
            <w:tcW w:type="dxa" w:w="1514"/>
          </w:tcPr>
          <w:p>
            <w:pPr>
              <w:spacing w:before="20" w:after="20"/>
            </w:pPr>
            <w:r/>
            <w:r>
              <w:rPr>
                <w:rFonts w:ascii="Verdana" w:hAnsi="Verdana"/>
                <w:b w:val="0"/>
                <w:sz w:val="16"/>
              </w:rPr>
              <w:t>Неопределенность коэффициента экстинкции частиц</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0 15 069</w:t>
            </w:r>
          </w:p>
        </w:tc>
        <w:tc>
          <w:tcPr>
            <w:tcW w:type="dxa" w:w="1514"/>
          </w:tcPr>
          <w:p>
            <w:pPr>
              <w:spacing w:before="20" w:after="20"/>
            </w:pPr>
            <w:r/>
            <w:r>
              <w:rPr>
                <w:rFonts w:ascii="Verdana" w:hAnsi="Verdana"/>
                <w:b w:val="0"/>
                <w:sz w:val="16"/>
              </w:rPr>
              <w:t>Лидарное отношение частиц</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0 15 070</w:t>
            </w:r>
          </w:p>
        </w:tc>
        <w:tc>
          <w:tcPr>
            <w:tcW w:type="dxa" w:w="1514"/>
          </w:tcPr>
          <w:p>
            <w:pPr>
              <w:spacing w:before="20" w:after="20"/>
            </w:pPr>
            <w:r/>
            <w:r>
              <w:rPr>
                <w:rFonts w:ascii="Verdana" w:hAnsi="Verdana"/>
                <w:b w:val="0"/>
                <w:sz w:val="16"/>
              </w:rPr>
              <w:t>Неопределенность лидарного отношения</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0 15 071</w:t>
            </w:r>
          </w:p>
        </w:tc>
        <w:tc>
          <w:tcPr>
            <w:tcW w:type="dxa" w:w="1514"/>
          </w:tcPr>
          <w:p>
            <w:pPr>
              <w:spacing w:before="20" w:after="20"/>
            </w:pPr>
            <w:r/>
            <w:r>
              <w:rPr>
                <w:rFonts w:ascii="Verdana" w:hAnsi="Verdana"/>
                <w:b w:val="0"/>
                <w:sz w:val="16"/>
              </w:rPr>
              <w:t>Соотношение деполяризации частиц</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0 15 072</w:t>
            </w:r>
          </w:p>
        </w:tc>
        <w:tc>
          <w:tcPr>
            <w:tcW w:type="dxa" w:w="1514"/>
          </w:tcPr>
          <w:p>
            <w:pPr>
              <w:spacing w:before="20" w:after="20"/>
            </w:pPr>
            <w:r/>
            <w:r>
              <w:rPr>
                <w:rFonts w:ascii="Verdana" w:hAnsi="Verdana"/>
                <w:b w:val="0"/>
                <w:sz w:val="16"/>
              </w:rPr>
              <w:t>Неопределенность соотношения деполяризации</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