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05: Location (horizontal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increment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to satellite azimuth difference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B184: Y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size on horizontal - 1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 track row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size of x-dimension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transect number according to SOOP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scan lines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Stripmap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spectra in range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spectra in azimuthal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in range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in azimuthal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Resolution radius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Side track index or along lateral track row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B110: North to south increments shall be assigned negative values.</w:t>
      </w:r>
    </w:p>
    <w:p>
      <w:r>
        <w:rPr>
          <w:rFonts w:ascii="Verdana" w:hAnsi="Verdana"/>
          <w:i/>
          <w:sz w:val="14"/>
        </w:rPr>
        <w:t>Note B122: South latitude shall be assigned negative values.</w:t>
      </w:r>
    </w:p>
    <w:p>
      <w:r>
        <w:rPr>
          <w:rFonts w:ascii="Verdana" w:hAnsi="Verdana"/>
          <w:i/>
          <w:sz w:val="14"/>
        </w:rPr>
        <w:t>Note B140: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B163: Values of latitude and latitude increments are limited to the range -90 degrees to +90 degrees.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