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19: Synoptic features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synoptic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B138: The effective radius of feature shall be defined with respect to the radius of the 1000-hPa isobars at mean sea level.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threshold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B99: Maximum wind and effective radius of maximum wind shall be indicated by means of the 0 19 003 and 0 19 004 entries.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B99: Maximum wind and effective radius of maximum wind shall be indicated by means of the 0 19 003 and 0 19 004 entries.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B73: For a stationary feature, both Direction of motion of feature (0 19 005) and Speed of motion of feature (0 19 006) shall be reported as 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B73: For a stationary feature, both Direction of motion of feature (0 19 005) and Speed of motion of feature (0 19 006) shall be reported as 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extent of circulation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 (large storms)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for tracking the centre of synoptic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interval to calculate the movement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Accuracy of the position of the centre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Shape and definition of the eye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Diameter of major axis of the eye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in character of the eye during the 30 minutes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between the end of spiral band and the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number of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interval over which the movement of the tropical cyclone has been calculated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Accuracy of geographical position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diameter of the overcast cloud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Apparent 24-hour change in intensity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Current Intensity (CI)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Tropical (DT)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pattern type of the DT-number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Expected Tropical (MET)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Trend of the past 24-hour change (+: Developed, -: Weakened)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Pattern Tropical (PT)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picture type of the PT-number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Final Tropical (T)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the final T-number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Typhoon International Common Number (Typhoon Committee)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