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01: Secuencias correspondientes a la posición y a la identificación</w:t>
      </w:r>
    </w:p>
    <w:p>
      <w:r>
        <w:rPr>
          <w:rFonts w:ascii="Verdana" w:hAnsi="Verdana"/>
          <w:b/>
          <w:sz w:val="18"/>
        </w:rPr>
        <w:t>3 01 001 (Números de bloque y de la estación de la OMM)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 /zona geográfica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No debería utilizarse el descriptor 3 01 002.</w:t>
            </w:r>
          </w:p>
        </w:tc>
      </w:tr>
      <w:tr>
        <w:trPr>
          <w:cantSplit/>
        </w:trPr>
        <w:tc>
          <w:tcPr>
            <w:tcW w:type="dxa" w:w="3784"/>
          </w:tcPr>
          <w:p>
            <w:pPr>
              <w:spacing w:before="20" w:after="20"/>
            </w:pPr>
            <w:r/>
            <w:r>
              <w:rPr>
                <w:rFonts w:ascii="Verdana" w:hAnsi="Verdana"/>
                <w:b w:val="0"/>
                <w:sz w:val="16"/>
              </w:rPr>
              <w:t>0 01 004</w:t>
            </w:r>
          </w:p>
        </w:tc>
        <w:tc>
          <w:tcPr>
            <w:tcW w:type="dxa" w:w="3784"/>
          </w:tcPr>
          <w:p>
            <w:pPr>
              <w:spacing w:before="20" w:after="20"/>
            </w:pPr>
            <w:r/>
            <w:r>
              <w:rPr>
                <w:rFonts w:ascii="Verdana" w:hAnsi="Verdana"/>
                <w:b w:val="0"/>
                <w:sz w:val="16"/>
              </w:rPr>
              <w:t>Subárea de Región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No debería utilizarse el descriptor 3 01 002.</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D11: No debería utilizarse el descriptor 3 01 002.</w:t>
            </w:r>
          </w:p>
        </w:tc>
      </w:tr>
    </w:tbl>
    <w:p/>
    <w:p>
      <w:r>
        <w:rPr>
          <w:rFonts w:ascii="Verdana" w:hAnsi="Verdana"/>
          <w:b/>
          <w:sz w:val="18"/>
        </w:rPr>
        <w:t>3 01 003 (Señal de llamada del buque y movimiento)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 buque o de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01 004 (Identificación de la estación de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01 005 (Centro de origen/centro secundario)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Centro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01 011 (Año, mes, día)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01 012 (Hora, minuto)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01 013 (Hora, minuto, segundo)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01 014 (Período de tiempo)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01 018 (Señal de llamada del buque encriptada y método de encriptación)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0 01 114</w:t>
            </w:r>
          </w:p>
        </w:tc>
        <w:tc>
          <w:tcPr>
            <w:tcW w:type="dxa" w:w="3784"/>
          </w:tcPr>
          <w:p>
            <w:pPr>
              <w:spacing w:before="20" w:after="20"/>
            </w:pPr>
            <w:r/>
            <w:r>
              <w:rPr>
                <w:rFonts w:ascii="Verdana" w:hAnsi="Verdana"/>
                <w:b w:val="0"/>
                <w:sz w:val="16"/>
              </w:rPr>
              <w:t>Identificador encriptado del buque o de la estación terrestre móvil (encriptación base64)</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D57: La señal de llamada del buque o el identificador de la OMM deberían notificarse mediante el descriptor 0 01 011. | Note D23: No obstante, si las navieras lo requieren cuando se incorporan buques de observación voluntaria o si se solicita ulteriormente, para los informes de los buques en los que se utiliza el modelo 3 08 014, la señal de llamada del buque u otro identificador se puede encriptar en los informes BUFR mediante la secuencia 3 01 018 de acuerdo con el método siguiente: – La señal de llamada normal (es decir, el descriptor 0 01 011) se codificará con un valor faltante. – El método de encriptación se indicará usando el método indicado por 0 25 185. – La versión de la clave de encriptación utilizada se indicará mediante 0 25 186.</w:t>
            </w:r>
          </w:p>
        </w:tc>
      </w:tr>
      <w:tr>
        <w:trPr>
          <w:cantSplit/>
        </w:trPr>
        <w:tc>
          <w:tcPr>
            <w:tcW w:type="dxa" w:w="3784"/>
          </w:tcPr>
          <w:p>
            <w:pPr>
              <w:spacing w:before="20" w:after="20"/>
            </w:pPr>
            <w:r/>
            <w:r>
              <w:rPr>
                <w:rFonts w:ascii="Verdana" w:hAnsi="Verdana"/>
                <w:b w:val="0"/>
                <w:sz w:val="16"/>
              </w:rPr>
              <w:t>0 25 185</w:t>
            </w:r>
          </w:p>
        </w:tc>
        <w:tc>
          <w:tcPr>
            <w:tcW w:type="dxa" w:w="3784"/>
          </w:tcPr>
          <w:p>
            <w:pPr>
              <w:spacing w:before="20" w:after="20"/>
            </w:pPr>
            <w:r/>
            <w:r>
              <w:rPr>
                <w:rFonts w:ascii="Verdana" w:hAnsi="Verdana"/>
                <w:b w:val="0"/>
                <w:sz w:val="16"/>
              </w:rPr>
              <w:t>Método de encriptación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0 25 186</w:t>
            </w:r>
          </w:p>
        </w:tc>
        <w:tc>
          <w:tcPr>
            <w:tcW w:type="dxa" w:w="3784"/>
          </w:tcPr>
          <w:p>
            <w:pPr>
              <w:spacing w:before="20" w:after="20"/>
            </w:pPr>
            <w:r/>
            <w:r>
              <w:rPr>
                <w:rFonts w:ascii="Verdana" w:hAnsi="Verdana"/>
                <w:b w:val="0"/>
                <w:sz w:val="16"/>
              </w:rPr>
              <w:t>Versión de la clave de encriptación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01 021 (Latitud/longitud (gran precisión))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01 022 (Latitud/longitud (gran precisión),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01 023 (Latitud/longitud (precisión aproximada))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01 024 (Latitud/longitud (precisión aproximada),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01 025 (Latitud/longitud (precisión aproximada), día/hora)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01 026 (Latitud/longitud (gran precisión), período de tiempo (día, hora, minuto))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en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en horas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t>en minutos</w:t>
            </w:r>
          </w:p>
        </w:tc>
        <w:tc>
          <w:tcPr>
            <w:tcW w:type="dxa" w:w="3784"/>
          </w:tcPr>
          <w:p>
            <w:pPr>
              <w:spacing w:before="20" w:after="20"/>
            </w:pPr>
            <w:r/>
            <w:r>
              <w:rPr>
                <w:rFonts w:ascii="Verdana" w:hAnsi="Verdana"/>
                <w:b w:val="0"/>
                <w:sz w:val="16"/>
              </w:rPr>
            </w:r>
          </w:p>
        </w:tc>
      </w:tr>
    </w:tbl>
    <w:p/>
    <w:p>
      <w:r>
        <w:rPr>
          <w:rFonts w:ascii="Verdana" w:hAnsi="Verdana"/>
          <w:b/>
          <w:sz w:val="18"/>
        </w:rPr>
        <w:t>3 01 027 (Descripción de un elemento en 3-D o 2-D)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 0 punto, = 1 línea, = 2 área, = 3 volumen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D65: Este factor de repetición deberá tener el valor de “1” cuando se describe un elemento en 2-D, en tanto que los elementos en 3-D pueden describirse mediante cualquiera de los métodos siguientes: a) a través de dos o más secciones horizontales en niveles de vuelo ascendentes sucesivos. En este caso, cada sección será descrita por un número idéntico de puntos de latitud/longitud enumerados en orden idéntico (es decir, cuando cada punto x de la sección n va a unirse mediante una línea recta con el punto x de la sección n+1), para garantizar que la configuración general del elemento en 3-D queda expresada sin ambigüedad. En este caso, todos los valores comunicados para 0 33 042 serán “faltantes”. b) a través de una sección horizontal única y un valor apropiado comunicado para 0 33 042 como sigue. En todos esos casos, la correspondiente descripción de la sección horizontal se aplica a la región entera. i) Un valor de “0” indicará una región por encima del nivel de vuelo comunicado (pero no incluido) y con un límite superior no especificado. ii) Un valor de “1” indicará una región por encima del nivel de vuelo comunicado (e incluido) y con un límite superior no especificado. iii) Un valor de “2” indicará una región por debajo del nivel de vuelo comunicado (pero no incluido) y que se extiende a la superficie. iv) Un valor de “3” indicará una región por debajo del nivel de vuelo comunicado (e incluido) y que se extiende a la superficie. c) a través de dos repeticiones de la misma sección horizontal al mismo nivel de vuelo comunicado, con objeto de indicar una región que se extiende por debajo y por encima del nivel de vuelo comunicado (¡incluidos!). En este caso, los valores comunicados para las dos repeticiones de 0 33 042 serán como sigue: i) Valores de “3” y “1”, respectivamente, para indicar una región que comienza desde abajo de un nivel de vuelo comunicado, pero que continúa a través de ese nivel hacia arriba hasta cierto punto no especificado (por ejemplo, TOP ABV FL 100). ii) Valores de “1” y “3”, respectivamente, para indicar una región que comienza desde arriba de un nivel de vuelo comunicado, pero que continúa a través de ese nivel hacia abajo hasta cierto punto no especificado (por ejemplo, CIGS BLW FL010).</w:t>
            </w:r>
          </w:p>
        </w:tc>
      </w:tr>
      <w:tr>
        <w:trPr>
          <w:cantSplit/>
        </w:trPr>
        <w:tc>
          <w:tcPr>
            <w:tcW w:type="dxa" w:w="3784"/>
          </w:tcPr>
          <w:p>
            <w:pPr>
              <w:spacing w:before="20" w:after="20"/>
            </w:pPr>
            <w:r/>
            <w:r>
              <w:rPr>
                <w:rFonts w:ascii="Verdana" w:hAnsi="Verdana"/>
                <w:b w:val="0"/>
                <w:sz w:val="16"/>
              </w:rPr>
              <w:t>3 01 028</w:t>
            </w:r>
          </w:p>
        </w:tc>
        <w:tc>
          <w:tcPr>
            <w:tcW w:type="dxa" w:w="3784"/>
          </w:tcPr>
          <w:p>
            <w:pPr>
              <w:spacing w:before="20" w:after="20"/>
            </w:pPr>
            <w:r/>
            <w:r>
              <w:rPr>
                <w:rFonts w:ascii="Verdana" w:hAnsi="Verdana"/>
                <w:b w:val="0"/>
                <w:sz w:val="16"/>
              </w:rPr>
              <w:t>Sección horizontal de un elemento descrito como un polígono, un círculo, una línea o un punto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01 028 (Sección horizontal de un elemento descrito como un polígono, un círculo, una línea o un punto)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Significación del nivel del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Tipo de límite representado por 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0 07 010</w:t>
            </w:r>
          </w:p>
        </w:tc>
        <w:tc>
          <w:tcPr>
            <w:tcW w:type="dxa" w:w="3784"/>
          </w:tcPr>
          <w:p>
            <w:pPr>
              <w:spacing w:before="20" w:after="20"/>
            </w:pPr>
            <w:r/>
            <w:r>
              <w:rPr>
                <w:rFonts w:ascii="Verdana" w:hAnsi="Verdana"/>
                <w:b w:val="0"/>
                <w:sz w:val="16"/>
              </w:rPr>
              <w:t>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D66: Este factor de repetición tendrá el valor de “1” cuando se describe un círculo o un punto, y tendrá un valor de “2” cuando se describe una línea. Por otra parte, se describirá un polígono mediante una secuencia de 3 o más puntos contiguos de conformidad con la nota relativa a la tabla de cifrado 0 08 007.</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Radio del elemento efectivo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D61: El valor comunicado para 0 19 007 será “faltante” a menos que la sección horizontal que se describe sea un círculo.</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Significación del nivel de vuelo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01 029 (Identificación)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corto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01 030 (Identificación – con ubicación física)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corto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01 031 (Identificación y tipo de estación, fecha/hora, localización (gran precisión),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01 032 (Identificación y tipo de estación, fecha/hora, localización(precisión aproximada),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01 033 (Boya/plataforma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01 034 (Boya/plataforma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01 035 (Movimiento de la boya/plataforma))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D12: Debería utilizarse el descriptor 3 01 055 en vez del 3 01 035 para cifrar información sobre boyas/plataformas en movimiento.</w:t>
            </w:r>
          </w:p>
        </w:tc>
      </w:tr>
    </w:tbl>
    <w:p/>
    <w:p>
      <w:r>
        <w:rPr>
          <w:rFonts w:ascii="Verdana" w:hAnsi="Verdana"/>
          <w:b/>
          <w:sz w:val="18"/>
        </w:rPr>
        <w:t>3 01 036 (Buque)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01 037 (Estación terrestre de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01 038 (Estación terrestre de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01 039 (Buque para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01 040 (Buque para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01 041 (Identificador del satélite, instrumento, técnica utilizada para el proceso de datos satelitales, fecha/hora)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Datos sobre instrumentos satelitales utilizados en las operaciones de proceso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0 02 022</w:t>
            </w:r>
          </w:p>
        </w:tc>
        <w:tc>
          <w:tcPr>
            <w:tcW w:type="dxa" w:w="3784"/>
          </w:tcPr>
          <w:p>
            <w:pPr>
              <w:spacing w:before="20" w:after="20"/>
            </w:pPr>
            <w:r/>
            <w:r>
              <w:rPr>
                <w:rFonts w:ascii="Verdana" w:hAnsi="Verdana"/>
                <w:b w:val="0"/>
                <w:sz w:val="16"/>
              </w:rPr>
              <w:t>Técnica utilizada para el proceso de datos satelitales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01 042 (Identificador del satélite, instrumento, técnica de proceso de datos,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3 01 041</w:t>
            </w:r>
          </w:p>
        </w:tc>
        <w:tc>
          <w:tcPr>
            <w:tcW w:type="dxa" w:w="3784"/>
          </w:tcPr>
          <w:p>
            <w:pPr>
              <w:spacing w:before="20" w:after="20"/>
            </w:pPr>
            <w:r/>
            <w:r>
              <w:rPr>
                <w:rFonts w:ascii="Verdana" w:hAnsi="Verdana"/>
                <w:b w:val="0"/>
                <w:sz w:val="16"/>
              </w:rPr>
              <w:t>Identificador del satélite, instrumento, técnica de proceso de datos, fecha/hora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01 043 (Identificador del satélite, método de cálculo del viento,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0 02 023</w:t>
            </w:r>
          </w:p>
        </w:tc>
        <w:tc>
          <w:tcPr>
            <w:tcW w:type="dxa" w:w="3784"/>
          </w:tcPr>
          <w:p>
            <w:pPr>
              <w:spacing w:before="20" w:after="20"/>
            </w:pPr>
            <w:r/>
            <w:r>
              <w:rPr>
                <w:rFonts w:ascii="Verdana" w:hAnsi="Verdana"/>
                <w:b w:val="0"/>
                <w:sz w:val="16"/>
              </w:rPr>
              <w:t>Método de cálculo del viento obtenido por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01 044 (Identificador del satélite, método de cálculo de la humedad,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0 02 024</w:t>
            </w:r>
          </w:p>
        </w:tc>
        <w:tc>
          <w:tcPr>
            <w:tcW w:type="dxa" w:w="3784"/>
          </w:tcPr>
          <w:p>
            <w:pPr>
              <w:spacing w:before="20" w:after="20"/>
            </w:pPr>
            <w:r/>
            <w:r>
              <w:rPr>
                <w:rFonts w:ascii="Verdana" w:hAnsi="Verdana"/>
                <w:b w:val="0"/>
                <w:sz w:val="16"/>
              </w:rPr>
              <w:t>Método de cálculo de la humedad media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01 045 (Ubicación y velocidad del satélite)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16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Ubicación de la plataforma</w:t>
            </w:r>
          </w:p>
        </w:tc>
        <w:tc>
          <w:tcPr>
            <w:tcW w:type="dxa" w:w="3784"/>
          </w:tcPr>
          <w:p>
            <w:pPr>
              <w:spacing w:before="20" w:after="20"/>
            </w:pPr>
            <w:r/>
            <w:r>
              <w:rPr>
                <w:rFonts w:ascii="Verdana" w:hAnsi="Verdana"/>
                <w:b w:val="0"/>
                <w:sz w:val="16"/>
              </w:rPr>
              <w:t>En relación con el centro de la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3 04 031</w:t>
            </w:r>
          </w:p>
        </w:tc>
        <w:tc>
          <w:tcPr>
            <w:tcW w:type="dxa" w:w="3784"/>
          </w:tcPr>
          <w:p>
            <w:pPr>
              <w:spacing w:before="20" w:after="20"/>
            </w:pPr>
            <w:r/>
            <w:r>
              <w:rPr>
                <w:rFonts w:ascii="Verdana" w:hAnsi="Verdana"/>
                <w:b w:val="0"/>
                <w:sz w:val="16"/>
              </w:rPr>
              <w:t>Velocidad de la plataforma</w:t>
            </w:r>
          </w:p>
        </w:tc>
        <w:tc>
          <w:tcPr>
            <w:tcW w:type="dxa" w:w="3784"/>
          </w:tcPr>
          <w:p>
            <w:pPr>
              <w:spacing w:before="20" w:after="20"/>
            </w:pPr>
            <w:r/>
            <w:r>
              <w:rPr>
                <w:rFonts w:ascii="Verdana" w:hAnsi="Verdana"/>
                <w:b w:val="0"/>
                <w:sz w:val="16"/>
              </w:rPr>
              <w:t>En relación con el centro de la Tierra</w:t>
            </w:r>
          </w:p>
        </w:tc>
        <w:tc>
          <w:tcPr>
            <w:tcW w:type="dxa" w:w="3784"/>
          </w:tcPr>
          <w:p>
            <w:pPr>
              <w:spacing w:before="20" w:after="20"/>
            </w:pPr>
            <w:r/>
            <w:r>
              <w:rPr>
                <w:rFonts w:ascii="Verdana" w:hAnsi="Verdana"/>
                <w:b w:val="0"/>
                <w:sz w:val="16"/>
              </w:rPr>
            </w:r>
          </w:p>
        </w:tc>
      </w:tr>
    </w:tbl>
    <w:p/>
    <w:p>
      <w:r>
        <w:rPr>
          <w:rFonts w:ascii="Verdana" w:hAnsi="Verdana"/>
          <w:b/>
          <w:sz w:val="18"/>
        </w:rPr>
        <w:t>3 01 046 (Identificador del satélite, dirección del movimiento, sensor, función del modelo, programa informático, resolución)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0 02 048</w:t>
            </w:r>
          </w:p>
        </w:tc>
        <w:tc>
          <w:tcPr>
            <w:tcW w:type="dxa" w:w="3784"/>
          </w:tcPr>
          <w:p>
            <w:pPr>
              <w:spacing w:before="20" w:after="20"/>
            </w:pPr>
            <w:r/>
            <w:r>
              <w:rPr>
                <w:rFonts w:ascii="Verdana" w:hAnsi="Verdana"/>
                <w:b w:val="0"/>
                <w:sz w:val="16"/>
              </w:rPr>
              <w:t>Indicador del sensor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0 21 119</w:t>
            </w:r>
          </w:p>
        </w:tc>
        <w:tc>
          <w:tcPr>
            <w:tcW w:type="dxa" w:w="3784"/>
          </w:tcPr>
          <w:p>
            <w:pPr>
              <w:spacing w:before="20" w:after="20"/>
            </w:pPr>
            <w:r/>
            <w:r>
              <w:rPr>
                <w:rFonts w:ascii="Verdana" w:hAnsi="Verdana"/>
                <w:b w:val="0"/>
                <w:sz w:val="16"/>
              </w:rPr>
              <w:t>Función geofísica modélica del dispersómetro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Identificador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2 02 124</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en el sentido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01 047 (Encabezamiento del producto 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 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3 01 045</w:t>
            </w:r>
          </w:p>
        </w:tc>
        <w:tc>
          <w:tcPr>
            <w:tcW w:type="dxa" w:w="3784"/>
          </w:tcPr>
          <w:p>
            <w:pPr>
              <w:spacing w:before="20" w:after="20"/>
            </w:pPr>
            <w:r/>
            <w:r>
              <w:rPr>
                <w:rFonts w:ascii="Verdana" w:hAnsi="Verdana"/>
                <w:b w:val="0"/>
                <w:sz w:val="16"/>
              </w:rPr>
              <w:t>Ubicación y velocidad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Datos de los instrumentos satelitales utilizados en las operaciones de proceso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los datos</w:t>
            </w:r>
          </w:p>
        </w:tc>
        <w:tc>
          <w:tcPr>
            <w:tcW w:type="dxa" w:w="3784"/>
          </w:tcPr>
          <w:p>
            <w:pPr>
              <w:spacing w:before="20" w:after="20"/>
            </w:pPr>
            <w:r/>
            <w:r>
              <w:rPr>
                <w:rFonts w:ascii="Verdana" w:hAnsi="Verdana"/>
                <w:b w:val="0"/>
                <w:sz w:val="16"/>
              </w:rPr>
              <w:t>16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los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01 048 (Parámetros de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Polarización de la antena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0 02 113</w:t>
            </w:r>
          </w:p>
        </w:tc>
        <w:tc>
          <w:tcPr>
            <w:tcW w:type="dxa" w:w="3784"/>
          </w:tcPr>
          <w:p>
            <w:pPr>
              <w:spacing w:before="20" w:after="20"/>
            </w:pPr>
            <w:r/>
            <w:r>
              <w:rPr>
                <w:rFonts w:ascii="Verdana" w:hAnsi="Verdana"/>
                <w:b w:val="0"/>
                <w:sz w:val="16"/>
              </w:rPr>
              <w:t>Número de miradas de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en sentido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0 02 140</w:t>
            </w:r>
          </w:p>
        </w:tc>
        <w:tc>
          <w:tcPr>
            <w:tcW w:type="dxa" w:w="3784"/>
          </w:tcPr>
          <w:p>
            <w:pPr>
              <w:spacing w:before="20" w:after="20"/>
            </w:pPr>
            <w:r/>
            <w:r>
              <w:rPr>
                <w:rFonts w:ascii="Verdana" w:hAnsi="Verdana"/>
                <w:b w:val="0"/>
                <w:sz w:val="16"/>
              </w:rPr>
              <w:t>Ángulo de azimut del haz de radar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 móvil</w:t>
            </w:r>
          </w:p>
        </w:tc>
        <w:tc>
          <w:tcPr>
            <w:tcW w:type="dxa" w:w="3784"/>
          </w:tcPr>
          <w:p>
            <w:pPr>
              <w:spacing w:before="20" w:after="20"/>
            </w:pPr>
            <w:r/>
            <w:r>
              <w:rPr>
                <w:rFonts w:ascii="Verdana" w:hAnsi="Verdana"/>
                <w:b w:val="0"/>
                <w:sz w:val="16"/>
              </w:rPr>
              <w:t>Velocidad de la plataforma del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t>Altitud de la plataforma del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0 25 010</w:t>
            </w:r>
          </w:p>
        </w:tc>
        <w:tc>
          <w:tcPr>
            <w:tcW w:type="dxa" w:w="3784"/>
          </w:tcPr>
          <w:p>
            <w:pPr>
              <w:spacing w:before="20" w:after="20"/>
            </w:pPr>
            <w:r/>
            <w:r>
              <w:rPr>
                <w:rFonts w:ascii="Verdana" w:hAnsi="Verdana"/>
                <w:b w:val="0"/>
                <w:sz w:val="16"/>
              </w:rPr>
              <w:t>Tratamiento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0 21 064</w:t>
            </w:r>
          </w:p>
        </w:tc>
        <w:tc>
          <w:tcPr>
            <w:tcW w:type="dxa" w:w="3784"/>
          </w:tcPr>
          <w:p>
            <w:pPr>
              <w:spacing w:before="20" w:after="20"/>
            </w:pPr>
            <w:r/>
            <w:r>
              <w:rPr>
                <w:rFonts w:ascii="Verdana" w:hAnsi="Verdana"/>
                <w:b w:val="0"/>
                <w:sz w:val="16"/>
              </w:rPr>
              <w:t>Ruido estimado de los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01 049 (Datos del haz del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Ángulo de mirada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Retrodispersión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0 21 063</w:t>
            </w:r>
          </w:p>
        </w:tc>
        <w:tc>
          <w:tcPr>
            <w:tcW w:type="dxa" w:w="3784"/>
          </w:tcPr>
          <w:p>
            <w:pPr>
              <w:spacing w:before="20" w:after="20"/>
            </w:pPr>
            <w:r/>
            <w:r>
              <w:rPr>
                <w:rFonts w:ascii="Verdana" w:hAnsi="Verdana"/>
                <w:b w:val="0"/>
                <w:sz w:val="16"/>
              </w:rPr>
              <w:t>Resolución radiométrica (valor del ruido)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0 21 065</w:t>
            </w:r>
          </w:p>
        </w:tc>
        <w:tc>
          <w:tcPr>
            <w:tcW w:type="dxa" w:w="3784"/>
          </w:tcPr>
          <w:p>
            <w:pPr>
              <w:spacing w:before="20" w:after="20"/>
            </w:pPr>
            <w:r/>
            <w:r>
              <w:rPr>
                <w:rFonts w:ascii="Verdana" w:hAnsi="Verdana"/>
                <w:b w:val="0"/>
                <w:sz w:val="16"/>
              </w:rPr>
              <w:t>Contador de paquetes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01 051 (Número de vuelo, sistema de navegación, fecha/hora, localización, fase del vuelo)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Identificador de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0 02 061</w:t>
            </w:r>
          </w:p>
        </w:tc>
        <w:tc>
          <w:tcPr>
            <w:tcW w:type="dxa" w:w="3784"/>
          </w:tcPr>
          <w:p>
            <w:pPr>
              <w:spacing w:before="20" w:after="20"/>
            </w:pPr>
            <w:r/>
            <w:r>
              <w:rPr>
                <w:rFonts w:ascii="Verdana" w:hAnsi="Verdana"/>
                <w:b w:val="0"/>
                <w:sz w:val="16"/>
              </w:rPr>
              <w:t>Sistema de navegación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Fase del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01 055 (Identificación y tipo de estación, fecha/hora, localización (gran precisión), movimiento)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Velocidad de deriva de la plataforma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01 056 (Secuencia para la identificación de la plataforma, tipo, hora y emplazamiento del informe de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t>Número de la OMM (identificador ampliado de siete dígitos)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(donde se asigna)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o emplazamiento de la estación</w:t>
            </w:r>
          </w:p>
        </w:tc>
        <w:tc>
          <w:tcPr>
            <w:tcW w:type="dxa" w:w="3784"/>
          </w:tcPr>
          <w:p>
            <w:pPr>
              <w:spacing w:before="20" w:after="20"/>
            </w:pPr>
            <w:r/>
            <w:r>
              <w:rPr>
                <w:rFonts w:ascii="Verdana" w:hAnsi="Verdana"/>
                <w:b w:val="0"/>
                <w:sz w:val="16"/>
              </w:rPr>
              <w:t>Nombre de la plataforma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0 02 008</w:t>
            </w:r>
          </w:p>
        </w:tc>
        <w:tc>
          <w:tcPr>
            <w:tcW w:type="dxa" w:w="3784"/>
          </w:tcPr>
          <w:p>
            <w:pPr>
              <w:spacing w:before="20" w:after="20"/>
            </w:pPr>
            <w:r/>
            <w:r>
              <w:rPr>
                <w:rFonts w:ascii="Verdana" w:hAnsi="Verdana"/>
                <w:b w:val="0"/>
                <w:sz w:val="16"/>
              </w:rPr>
              <w:t>Tipo de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t>Altura de la plataforma de la estación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01 058 (Episodio de relámpago universal)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A�o, mes, 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2 01 152</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2 02 135</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0 20 111</w:t>
            </w:r>
          </w:p>
        </w:tc>
        <w:tc>
          <w:tcPr>
            <w:tcW w:type="dxa" w:w="3784"/>
          </w:tcPr>
          <w:p>
            <w:pPr>
              <w:spacing w:before="20" w:after="20"/>
            </w:pPr>
            <w:r/>
            <w:r>
              <w:rPr>
                <w:rFonts w:ascii="Verdana" w:hAnsi="Verdana"/>
                <w:b w:val="0"/>
                <w:sz w:val="16"/>
              </w:rPr>
              <w:t>Componente mayor de la elipse de error del eje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0 20 112</w:t>
            </w:r>
          </w:p>
        </w:tc>
        <w:tc>
          <w:tcPr>
            <w:tcW w:type="dxa" w:w="3784"/>
          </w:tcPr>
          <w:p>
            <w:pPr>
              <w:spacing w:before="20" w:after="20"/>
            </w:pPr>
            <w:r/>
            <w:r>
              <w:rPr>
                <w:rFonts w:ascii="Verdana" w:hAnsi="Verdana"/>
                <w:b w:val="0"/>
                <w:sz w:val="16"/>
              </w:rPr>
              <w:t>Componente menor de la elipse de error del eje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0 20 113</w:t>
            </w:r>
          </w:p>
        </w:tc>
        <w:tc>
          <w:tcPr>
            <w:tcW w:type="dxa" w:w="3784"/>
          </w:tcPr>
          <w:p>
            <w:pPr>
              <w:spacing w:before="20" w:after="20"/>
            </w:pPr>
            <w:r/>
            <w:r>
              <w:rPr>
                <w:rFonts w:ascii="Verdana" w:hAnsi="Verdana"/>
                <w:b w:val="0"/>
                <w:sz w:val="16"/>
              </w:rPr>
              <w:t>Componente de la elipse de error del eje 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0 20 114</w:t>
            </w:r>
          </w:p>
        </w:tc>
        <w:tc>
          <w:tcPr>
            <w:tcW w:type="dxa" w:w="3784"/>
          </w:tcPr>
          <w:p>
            <w:pPr>
              <w:spacing w:before="20" w:after="20"/>
            </w:pPr>
            <w:r/>
            <w:r>
              <w:rPr>
                <w:rFonts w:ascii="Verdana" w:hAnsi="Verdana"/>
                <w:b w:val="0"/>
                <w:sz w:val="16"/>
              </w:rPr>
              <w:t>Ángulo del eje x en la elipse de error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0 20 115</w:t>
            </w:r>
          </w:p>
        </w:tc>
        <w:tc>
          <w:tcPr>
            <w:tcW w:type="dxa" w:w="3784"/>
          </w:tcPr>
          <w:p>
            <w:pPr>
              <w:spacing w:before="20" w:after="20"/>
            </w:pPr>
            <w:r/>
            <w:r>
              <w:rPr>
                <w:rFonts w:ascii="Verdana" w:hAnsi="Verdana"/>
                <w:b w:val="0"/>
                <w:sz w:val="16"/>
              </w:rPr>
              <w:t>Ángulo del eje z en la elipse de error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0 20 116</w:t>
            </w:r>
          </w:p>
        </w:tc>
        <w:tc>
          <w:tcPr>
            <w:tcW w:type="dxa" w:w="3784"/>
          </w:tcPr>
          <w:p>
            <w:pPr>
              <w:spacing w:before="20" w:after="20"/>
            </w:pPr>
            <w:r/>
            <w:r>
              <w:rPr>
                <w:rFonts w:ascii="Verdana" w:hAnsi="Verdana"/>
                <w:b w:val="0"/>
                <w:sz w:val="16"/>
              </w:rPr>
              <w:t>Altura de la base de las nubes a la que se emite la descarga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0 20 117</w:t>
            </w:r>
          </w:p>
        </w:tc>
        <w:tc>
          <w:tcPr>
            <w:tcW w:type="dxa" w:w="3784"/>
          </w:tcPr>
          <w:p>
            <w:pPr>
              <w:spacing w:before="20" w:after="20"/>
            </w:pPr>
            <w:r/>
            <w:r>
              <w:rPr>
                <w:rFonts w:ascii="Verdana" w:hAnsi="Verdana"/>
                <w:b w:val="0"/>
                <w:sz w:val="16"/>
              </w:rPr>
              <w:t>Amplitud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0 20 118</w:t>
            </w:r>
          </w:p>
        </w:tc>
        <w:tc>
          <w:tcPr>
            <w:tcW w:type="dxa" w:w="3784"/>
          </w:tcPr>
          <w:p>
            <w:pPr>
              <w:spacing w:before="20" w:after="20"/>
            </w:pPr>
            <w:r/>
            <w:r>
              <w:rPr>
                <w:rFonts w:ascii="Verdana" w:hAnsi="Verdana"/>
                <w:b w:val="0"/>
                <w:sz w:val="16"/>
              </w:rPr>
              <w:t>Error de detección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0 20 119</w:t>
            </w:r>
          </w:p>
        </w:tc>
        <w:tc>
          <w:tcPr>
            <w:tcW w:type="dxa" w:w="3784"/>
          </w:tcPr>
          <w:p>
            <w:pPr>
              <w:spacing w:before="20" w:after="20"/>
            </w:pPr>
            <w:r/>
            <w:r>
              <w:rPr>
                <w:rFonts w:ascii="Verdana" w:hAnsi="Verdana"/>
                <w:b w:val="0"/>
                <w:sz w:val="16"/>
              </w:rPr>
              <w:t>Polaridad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0 25 035</w:t>
            </w:r>
          </w:p>
        </w:tc>
        <w:tc>
          <w:tcPr>
            <w:tcW w:type="dxa" w:w="3784"/>
          </w:tcPr>
          <w:p>
            <w:pPr>
              <w:spacing w:before="20" w:after="20"/>
            </w:pPr>
            <w:r/>
            <w:r>
              <w:rPr>
                <w:rFonts w:ascii="Verdana" w:hAnsi="Verdana"/>
                <w:b w:val="0"/>
                <w:sz w:val="16"/>
              </w:rPr>
              <w:t>Método de decisión para la polaridad</w:t>
            </w:r>
          </w:p>
        </w:tc>
        <w:tc>
          <w:tcPr>
            <w:tcW w:type="dxa" w:w="3784"/>
          </w:tcPr>
          <w:p>
            <w:pPr>
              <w:spacing w:before="20" w:after="20"/>
            </w:pPr>
            <w:r/>
            <w:r>
              <w:rPr>
                <w:rFonts w:ascii="Verdana" w:hAnsi="Verdana"/>
                <w:b w:val="0"/>
                <w:sz w:val="16"/>
              </w:rPr>
              <w:t>V o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0 20 121</w:t>
            </w:r>
          </w:p>
        </w:tc>
        <w:tc>
          <w:tcPr>
            <w:tcW w:type="dxa" w:w="3784"/>
          </w:tcPr>
          <w:p>
            <w:pPr>
              <w:spacing w:before="20" w:after="20"/>
            </w:pPr>
            <w:r/>
            <w:r>
              <w:rPr>
                <w:rFonts w:ascii="Verdana" w:hAnsi="Verdana"/>
                <w:b w:val="0"/>
                <w:sz w:val="16"/>
              </w:rPr>
              <w:t>Valor umbral para la decisión de polaridad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0 20 123</w:t>
            </w:r>
          </w:p>
        </w:tc>
        <w:tc>
          <w:tcPr>
            <w:tcW w:type="dxa" w:w="3784"/>
          </w:tcPr>
          <w:p>
            <w:pPr>
              <w:spacing w:before="20" w:after="20"/>
            </w:pPr>
            <w:r/>
            <w:r>
              <w:rPr>
                <w:rFonts w:ascii="Verdana" w:hAnsi="Verdana"/>
                <w:b w:val="0"/>
                <w:sz w:val="16"/>
              </w:rPr>
              <w:t>Valor umbral para la decisión de polaridad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0 20 124</w:t>
            </w:r>
          </w:p>
        </w:tc>
        <w:tc>
          <w:tcPr>
            <w:tcW w:type="dxa" w:w="3784"/>
          </w:tcPr>
          <w:p>
            <w:pPr>
              <w:spacing w:before="20" w:after="20"/>
            </w:pPr>
            <w:r/>
            <w:r>
              <w:rPr>
                <w:rFonts w:ascii="Verdana" w:hAnsi="Verdana"/>
                <w:b w:val="0"/>
                <w:sz w:val="16"/>
              </w:rPr>
              <w:t>Rayo o relámpago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0 25 175</w:t>
            </w:r>
          </w:p>
        </w:tc>
        <w:tc>
          <w:tcPr>
            <w:tcW w:type="dxa" w:w="3784"/>
          </w:tcPr>
          <w:p>
            <w:pPr>
              <w:spacing w:before="20" w:after="20"/>
            </w:pPr>
            <w:r/>
            <w:r>
              <w:rPr>
                <w:rFonts w:ascii="Verdana" w:hAnsi="Verdana"/>
                <w:b w:val="0"/>
                <w:sz w:val="16"/>
              </w:rPr>
              <w:t>Residuo modificado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Otros fenómenos meteorológicos</w:t>
            </w:r>
          </w:p>
        </w:tc>
        <w:tc>
          <w:tcPr>
            <w:tcW w:type="dxa" w:w="3784"/>
          </w:tcPr>
          <w:p>
            <w:pPr>
              <w:spacing w:before="20" w:after="20"/>
            </w:pPr>
            <w:r/>
            <w:r>
              <w:rPr>
                <w:rFonts w:ascii="Verdana" w:hAnsi="Verdana"/>
                <w:b w:val="0"/>
                <w:sz w:val="16"/>
              </w:rPr>
              <w:t>Identificación de nube a tierra o de nube a nube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0 25 063</w:t>
            </w:r>
          </w:p>
        </w:tc>
        <w:tc>
          <w:tcPr>
            <w:tcW w:type="dxa" w:w="3784"/>
          </w:tcPr>
          <w:p>
            <w:pPr>
              <w:spacing w:before="20" w:after="20"/>
            </w:pPr>
            <w:r/>
            <w:r>
              <w:rPr>
                <w:rFonts w:ascii="Verdana" w:hAnsi="Verdana"/>
                <w:b w:val="0"/>
                <w:sz w:val="16"/>
              </w:rPr>
              <w:t>Identificador de procesador central o de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t>Definir la frecuencia central, si se utiliza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del programa informático y número de versión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Tipo de sensor de detección del rayo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Capacidad para distinguir entre descargas eléctricas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0 25 036</w:t>
            </w:r>
          </w:p>
        </w:tc>
        <w:tc>
          <w:tcPr>
            <w:tcW w:type="dxa" w:w="3784"/>
          </w:tcPr>
          <w:p>
            <w:pPr>
              <w:spacing w:before="20" w:after="20"/>
            </w:pPr>
            <w:r/>
            <w:r>
              <w:rPr>
                <w:rFonts w:ascii="Verdana" w:hAnsi="Verdana"/>
                <w:b w:val="0"/>
                <w:sz w:val="16"/>
              </w:rPr>
              <w:t>Método de ubicación de parásitos atmosféricos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t>Número de sensores considerados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3 01 059</w:t>
            </w:r>
          </w:p>
        </w:tc>
        <w:tc>
          <w:tcPr>
            <w:tcW w:type="dxa" w:w="3784"/>
          </w:tcPr>
          <w:p>
            <w:pPr>
              <w:spacing w:before="20" w:after="20"/>
            </w:pPr>
            <w:r/>
            <w:r>
              <w:rPr>
                <w:rFonts w:ascii="Verdana" w:hAnsi="Verdana"/>
                <w:b w:val="0"/>
                <w:sz w:val="16"/>
              </w:rPr>
              <w:t>Identificación de emplazamiento del sensor e instrumentos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01 059 (Identificación del emplazamiento del sensor e instrumentos)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Sensor para relámpagos</w:t>
            </w:r>
          </w:p>
        </w:tc>
        <w:tc>
          <w:tcPr>
            <w:tcW w:type="dxa" w:w="3784"/>
          </w:tcPr>
          <w:p>
            <w:pPr>
              <w:spacing w:before="20" w:after="20"/>
            </w:pPr>
            <w:r/>
            <w:r>
              <w:rPr>
                <w:rFonts w:ascii="Verdana" w:hAnsi="Verdana"/>
                <w:b w:val="0"/>
                <w:sz w:val="16"/>
              </w:rPr>
            </w:r>
          </w:p>
        </w:tc>
      </w:tr>
    </w:tbl>
    <w:p/>
    <w:p>
      <w:r>
        <w:rPr>
          <w:rFonts w:ascii="Verdana" w:hAnsi="Verdana"/>
          <w:b/>
          <w:sz w:val="18"/>
        </w:rPr>
        <w:t>3 01 062 (Posición(es) del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01 065 (Identificación de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Número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Este valor, que ha sido proporcionado por el centro secundario ARINC, es más bien un pseudovalor que el valor real. Solo ARINC conoce la relación entre este pseudovalor y el valor verdadero.</w:t>
            </w:r>
          </w:p>
        </w:tc>
      </w:tr>
      <w:tr>
        <w:trPr>
          <w:cantSplit/>
        </w:trPr>
        <w:tc>
          <w:tcPr>
            <w:tcW w:type="dxa" w:w="3784"/>
          </w:tcPr>
          <w:p>
            <w:pPr>
              <w:spacing w:before="20" w:after="20"/>
            </w:pPr>
            <w:r/>
            <w:r>
              <w:rPr>
                <w:rFonts w:ascii="Verdana" w:hAnsi="Verdana"/>
                <w:b w:val="0"/>
                <w:sz w:val="16"/>
              </w:rPr>
              <w:t>0 01 008</w:t>
            </w:r>
          </w:p>
        </w:tc>
        <w:tc>
          <w:tcPr>
            <w:tcW w:type="dxa" w:w="3784"/>
          </w:tcPr>
          <w:p>
            <w:pPr>
              <w:spacing w:before="20" w:after="20"/>
            </w:pPr>
            <w:r/>
            <w:r>
              <w:rPr>
                <w:rFonts w:ascii="Verdana" w:hAnsi="Verdana"/>
                <w:b w:val="0"/>
                <w:sz w:val="16"/>
              </w:rPr>
              <w:t>Número de matrícula de aeronave u otra identificación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D5: Este valor, que ha sido proporcionado por el centro secundario ARINC, es más bien un pseudovalor que el valor real. Solo ARINC conoce la relación entre este pseudovalor y el valor verdadero.</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 utilizado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0 02 062</w:t>
            </w:r>
          </w:p>
        </w:tc>
        <w:tc>
          <w:tcPr>
            <w:tcW w:type="dxa" w:w="3784"/>
          </w:tcPr>
          <w:p>
            <w:pPr>
              <w:spacing w:before="20" w:after="20"/>
            </w:pPr>
            <w:r/>
            <w:r>
              <w:rPr>
                <w:rFonts w:ascii="Verdana" w:hAnsi="Verdana"/>
                <w:b w:val="0"/>
                <w:sz w:val="16"/>
              </w:rPr>
              <w:t>Tipo de sistema de retransmisión de datos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0 02 070</w:t>
            </w:r>
          </w:p>
        </w:tc>
        <w:tc>
          <w:tcPr>
            <w:tcW w:type="dxa" w:w="3784"/>
          </w:tcPr>
          <w:p>
            <w:pPr>
              <w:spacing w:before="20" w:after="20"/>
            </w:pPr>
            <w:r/>
            <w:r>
              <w:rPr>
                <w:rFonts w:ascii="Verdana" w:hAnsi="Verdana"/>
                <w:b w:val="0"/>
                <w:sz w:val="16"/>
              </w:rPr>
              <w:t>Especificación original de latitud/longitud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0 02 065</w:t>
            </w:r>
          </w:p>
        </w:tc>
        <w:tc>
          <w:tcPr>
            <w:tcW w:type="dxa" w:w="3784"/>
          </w:tcPr>
          <w:p>
            <w:pPr>
              <w:spacing w:before="20" w:after="20"/>
            </w:pPr>
            <w:r/>
            <w:r>
              <w:rPr>
                <w:rFonts w:ascii="Verdana" w:hAnsi="Verdana"/>
                <w:b w:val="0"/>
                <w:sz w:val="16"/>
              </w:rPr>
              <w:t>Estación ACARS de recepción en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01 066 (Ubicación de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0 02 064</w:t>
            </w:r>
          </w:p>
        </w:tc>
        <w:tc>
          <w:tcPr>
            <w:tcW w:type="dxa" w:w="3784"/>
          </w:tcPr>
          <w:p>
            <w:pPr>
              <w:spacing w:before="20" w:after="20"/>
            </w:pPr>
            <w:r/>
            <w:r>
              <w:rPr>
                <w:rFonts w:ascii="Verdana" w:hAnsi="Verdana"/>
                <w:b w:val="0"/>
                <w:sz w:val="16"/>
              </w:rPr>
              <w:t>Calidad del ángulo de balanceo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Fase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01 070 (Instrumento para medir el ozono – espectrofotómetro Brewer)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0 02 144</w:t>
            </w:r>
          </w:p>
        </w:tc>
        <w:tc>
          <w:tcPr>
            <w:tcW w:type="dxa" w:w="3784"/>
          </w:tcPr>
          <w:p>
            <w:pPr>
              <w:spacing w:before="20" w:after="20"/>
            </w:pPr>
            <w:r/>
            <w:r>
              <w:rPr>
                <w:rFonts w:ascii="Verdana" w:hAnsi="Verdana"/>
                <w:b w:val="0"/>
                <w:sz w:val="16"/>
              </w:rPr>
              <w:t>Tipo de fuente luminosa para el espectrofotómetro de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01 071 (Identificador del satélite/resolución de generación)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0 02 028</w:t>
            </w:r>
          </w:p>
        </w:tc>
        <w:tc>
          <w:tcPr>
            <w:tcW w:type="dxa" w:w="3784"/>
          </w:tcPr>
          <w:p>
            <w:pPr>
              <w:spacing w:before="20" w:after="20"/>
            </w:pPr>
            <w:r/>
            <w:r>
              <w:rPr>
                <w:rFonts w:ascii="Verdana" w:hAnsi="Verdana"/>
                <w:b w:val="0"/>
                <w:sz w:val="16"/>
              </w:rPr>
              <w:t>Dimensión del segmento en el nadir en la dirección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0 02 029</w:t>
            </w:r>
          </w:p>
        </w:tc>
        <w:tc>
          <w:tcPr>
            <w:tcW w:type="dxa" w:w="3784"/>
          </w:tcPr>
          <w:p>
            <w:pPr>
              <w:spacing w:before="20" w:after="20"/>
            </w:pPr>
            <w:r/>
            <w:r>
              <w:rPr>
                <w:rFonts w:ascii="Verdana" w:hAnsi="Verdana"/>
                <w:b w:val="0"/>
                <w:sz w:val="16"/>
              </w:rPr>
              <w:t>Dimensión del segmento en el nadir en la dirección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01 072 (Identificación del satélite)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3 01 071</w:t>
            </w:r>
          </w:p>
        </w:tc>
        <w:tc>
          <w:tcPr>
            <w:tcW w:type="dxa" w:w="3784"/>
          </w:tcPr>
          <w:p>
            <w:pPr>
              <w:spacing w:before="20" w:after="20"/>
            </w:pPr>
            <w:r/>
            <w:r>
              <w:rPr>
                <w:rFonts w:ascii="Verdana" w:hAnsi="Verdana"/>
                <w:b w:val="0"/>
                <w:sz w:val="16"/>
              </w:rPr>
              <w:t>Identificador del satélite/resolución de 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01 074 (Instrumento para medir el ozono — espectrofotómetro Dobson)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0 02 145</w:t>
            </w:r>
          </w:p>
        </w:tc>
        <w:tc>
          <w:tcPr>
            <w:tcW w:type="dxa" w:w="3784"/>
          </w:tcPr>
          <w:p>
            <w:pPr>
              <w:spacing w:before="20" w:after="20"/>
            </w:pPr>
            <w:r/>
            <w:r>
              <w:rPr>
                <w:rFonts w:ascii="Verdana" w:hAnsi="Verdana"/>
                <w:b w:val="0"/>
                <w:sz w:val="16"/>
              </w:rPr>
              <w:t>Ajuste de la longitud de onda para los instrumentos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0 02 146</w:t>
            </w:r>
          </w:p>
        </w:tc>
        <w:tc>
          <w:tcPr>
            <w:tcW w:type="dxa" w:w="3784"/>
          </w:tcPr>
          <w:p>
            <w:pPr>
              <w:spacing w:before="20" w:after="20"/>
            </w:pPr>
            <w:r/>
            <w:r>
              <w:rPr>
                <w:rFonts w:ascii="Verdana" w:hAnsi="Verdana"/>
                <w:b w:val="0"/>
                <w:sz w:val="16"/>
              </w:rPr>
              <w:t>Condiciones de la fuente para los instrumentos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01 075 (Identificación del sondeo)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 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01 076 (Instrumento de sondeo para medir el ozono)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01 089 (Identificación nacional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0 01 101</w:t>
            </w:r>
          </w:p>
        </w:tc>
        <w:tc>
          <w:tcPr>
            <w:tcW w:type="dxa" w:w="3784"/>
          </w:tcPr>
          <w:p>
            <w:pPr>
              <w:spacing w:before="20" w:after="20"/>
            </w:pPr>
            <w:r/>
            <w:r>
              <w:rPr>
                <w:rFonts w:ascii="Verdana" w:hAnsi="Verdana"/>
                <w:b w:val="0"/>
                <w:sz w:val="16"/>
              </w:rPr>
              <w:t>Identificador de estado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0 01 102</w:t>
            </w:r>
          </w:p>
        </w:tc>
        <w:tc>
          <w:tcPr>
            <w:tcW w:type="dxa" w:w="3784"/>
          </w:tcPr>
          <w:p>
            <w:pPr>
              <w:spacing w:before="20" w:after="20"/>
            </w:pPr>
            <w:r/>
            <w:r>
              <w:rPr>
                <w:rFonts w:ascii="Verdana" w:hAnsi="Verdana"/>
                <w:b w:val="0"/>
                <w:sz w:val="16"/>
              </w:rPr>
              <w:t>Número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01 090 (Identificación de la estación de superficie; hora; coordenadas horizontales y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3 01 004</w:t>
            </w:r>
          </w:p>
        </w:tc>
        <w:tc>
          <w:tcPr>
            <w:tcW w:type="dxa" w:w="3784"/>
          </w:tcPr>
          <w:p>
            <w:pPr>
              <w:spacing w:before="20" w:after="20"/>
            </w:pPr>
            <w:r/>
            <w:r>
              <w:rPr>
                <w:rFonts w:ascii="Verdana" w:hAnsi="Verdana"/>
                <w:b w:val="0"/>
                <w:sz w:val="16"/>
              </w:rPr>
              <w:t>Identificación de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01 091 (Instrumentos en la estación de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0 02 180</w:t>
            </w:r>
          </w:p>
        </w:tc>
        <w:tc>
          <w:tcPr>
            <w:tcW w:type="dxa" w:w="3784"/>
          </w:tcPr>
          <w:p>
            <w:pPr>
              <w:spacing w:before="20" w:after="20"/>
            </w:pPr>
            <w:r/>
            <w:r>
              <w:rPr>
                <w:rFonts w:ascii="Verdana" w:hAnsi="Verdana"/>
                <w:b w:val="0"/>
                <w:sz w:val="16"/>
              </w:rPr>
              <w:t>Principal sistema de detección de 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0 02 181</w:t>
            </w:r>
          </w:p>
        </w:tc>
        <w:tc>
          <w:tcPr>
            <w:tcW w:type="dxa" w:w="3784"/>
          </w:tcPr>
          <w:p>
            <w:pPr>
              <w:spacing w:before="20" w:after="20"/>
            </w:pPr>
            <w:r/>
            <w:r>
              <w:rPr>
                <w:rFonts w:ascii="Verdana" w:hAnsi="Verdana"/>
                <w:b w:val="0"/>
                <w:sz w:val="16"/>
              </w:rPr>
              <w:t>Sensor suplementario de 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0 02 182</w:t>
            </w:r>
          </w:p>
        </w:tc>
        <w:tc>
          <w:tcPr>
            <w:tcW w:type="dxa" w:w="3784"/>
          </w:tcPr>
          <w:p>
            <w:pPr>
              <w:spacing w:before="20" w:after="20"/>
            </w:pPr>
            <w:r/>
            <w:r>
              <w:rPr>
                <w:rFonts w:ascii="Verdana" w:hAnsi="Verdana"/>
                <w:b w:val="0"/>
                <w:sz w:val="16"/>
              </w:rPr>
              <w:t>Sistema de medición de la visibilidad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0 02 183</w:t>
            </w:r>
          </w:p>
        </w:tc>
        <w:tc>
          <w:tcPr>
            <w:tcW w:type="dxa" w:w="3784"/>
          </w:tcPr>
          <w:p>
            <w:pPr>
              <w:spacing w:before="20" w:after="20"/>
            </w:pPr>
            <w:r/>
            <w:r>
              <w:rPr>
                <w:rFonts w:ascii="Verdana" w:hAnsi="Verdana"/>
                <w:b w:val="0"/>
                <w:sz w:val="16"/>
              </w:rPr>
              <w:t>Sistema de detección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Tipo de sensor de detección del rayo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0 02 179</w:t>
            </w:r>
          </w:p>
        </w:tc>
        <w:tc>
          <w:tcPr>
            <w:tcW w:type="dxa" w:w="3784"/>
          </w:tcPr>
          <w:p>
            <w:pPr>
              <w:spacing w:before="20" w:after="20"/>
            </w:pPr>
            <w:r/>
            <w:r>
              <w:rPr>
                <w:rFonts w:ascii="Verdana" w:hAnsi="Verdana"/>
                <w:b w:val="0"/>
                <w:sz w:val="16"/>
              </w:rPr>
              <w:t>Tipo de algoritmo de la condición del cielo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Capacidad para detectar fenómenos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0 02 187</w:t>
            </w:r>
          </w:p>
        </w:tc>
        <w:tc>
          <w:tcPr>
            <w:tcW w:type="dxa" w:w="3784"/>
          </w:tcPr>
          <w:p>
            <w:pPr>
              <w:spacing w:before="20" w:after="20"/>
            </w:pPr>
            <w:r/>
            <w:r>
              <w:rPr>
                <w:rFonts w:ascii="Verdana" w:hAnsi="Verdana"/>
                <w:b w:val="0"/>
                <w:sz w:val="16"/>
              </w:rPr>
              <w:t>Capacidad para detectar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0 02 188</w:t>
            </w:r>
          </w:p>
        </w:tc>
        <w:tc>
          <w:tcPr>
            <w:tcW w:type="dxa" w:w="3784"/>
          </w:tcPr>
          <w:p>
            <w:pPr>
              <w:spacing w:before="20" w:after="20"/>
            </w:pPr>
            <w:r/>
            <w:r>
              <w:rPr>
                <w:rFonts w:ascii="Verdana" w:hAnsi="Verdana"/>
                <w:b w:val="0"/>
                <w:sz w:val="16"/>
              </w:rPr>
              <w:t>Capacidad para detectar el oscurecimiento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Capacidad para distinguir entre descargas eléctricas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01 092 (Identificación de la estación móvil de superficie, hora, coordenadas horizontal y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 /zona geográfica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por encima del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Marca de calidad de la elevación de la estación(para estaciones móviles)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01 093 (Identificación del buque, movimiento, fecha/hora, coordenadas horizontal y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Buque</w:t>
            </w:r>
          </w:p>
        </w:tc>
        <w:tc>
          <w:tcPr>
            <w:tcW w:type="dxa" w:w="3784"/>
          </w:tcPr>
          <w:p>
            <w:pPr>
              <w:spacing w:before="20" w:after="20"/>
            </w:pPr>
            <w:r/>
            <w:r>
              <w:rPr>
                <w:rFonts w:ascii="Verdana" w:hAnsi="Verdana"/>
                <w:b w:val="0"/>
                <w:sz w:val="16"/>
              </w:rPr>
              <w:t>Identificación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01 110 (Identificación del sitio de lanzamiento e instrumentos para la medición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01 111 (Identificación del sitio de lanzamiento e instrumentos para la medición de presión, temperatura, humedad(PTU) y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01 112 (Identificación del punto de lanzamiento e instrumentos de la radiosonda con paracaídas)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Número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 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01 113 (Fecha/hora de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=18 hora de lanzamiento</w:t>
            </w:r>
          </w:p>
        </w:tc>
        <w:tc>
          <w:tcPr>
            <w:tcW w:type="dxa" w:w="3784"/>
          </w:tcPr>
          <w:p>
            <w:pPr>
              <w:spacing w:before="20" w:after="20"/>
            </w:pPr>
            <w:r/>
            <w:r>
              <w:rPr>
                <w:rFonts w:ascii="Verdana" w:hAnsi="Verdana"/>
                <w:b w:val="0"/>
                <w:sz w:val="16"/>
              </w:rPr>
              <w:t>Note D72: La hora de lanzamiento se notificará con el mayor grado de exactitud posible. Si no se dispone de la hora de lanzamiento con una exactitud de segundos, la entrada para los segundos se fijará en cero.</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Hora de lanzamiento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t>Hora de lanzamiento</w:t>
            </w:r>
          </w:p>
        </w:tc>
        <w:tc>
          <w:tcPr>
            <w:tcW w:type="dxa" w:w="3784"/>
          </w:tcPr>
          <w:p>
            <w:pPr>
              <w:spacing w:before="20" w:after="20"/>
            </w:pPr>
            <w:r/>
            <w:r>
              <w:rPr>
                <w:rFonts w:ascii="Verdana" w:hAnsi="Verdana"/>
                <w:b w:val="0"/>
                <w:sz w:val="16"/>
              </w:rPr>
            </w:r>
          </w:p>
        </w:tc>
      </w:tr>
    </w:tbl>
    <w:p/>
    <w:p>
      <w:r>
        <w:rPr>
          <w:rFonts w:ascii="Verdana" w:hAnsi="Verdana"/>
          <w:b/>
          <w:sz w:val="18"/>
        </w:rPr>
        <w:t>3 01 114 (Coordenadas horizontales y verticales del sitio de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Lanzamiento de la sonda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Marca de la calidad de la elevación de la estación (para estaciones móviles)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01 120 (Encabezamiento abreviado de la radiosonda e información del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Número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Ubicación de punto de lanzamiento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01 121 (Ubicaci�n del punto de lanzamiento de la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3 punto de lanzamiento del globo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Lanzamiento de la radiosonda sobre el nivel medio del mar</w:t>
            </w:r>
          </w:p>
        </w:tc>
        <w:tc>
          <w:tcPr>
            <w:tcW w:type="dxa" w:w="3784"/>
          </w:tcPr>
          <w:p>
            <w:pPr>
              <w:spacing w:before="20" w:after="20"/>
            </w:pPr>
            <w:r/>
            <w:r>
              <w:rPr>
                <w:rFonts w:ascii="Verdana" w:hAnsi="Verdana"/>
                <w:b w:val="0"/>
                <w:sz w:val="16"/>
              </w:rPr>
            </w:r>
          </w:p>
        </w:tc>
      </w:tr>
    </w:tbl>
    <w:p/>
    <w:p>
      <w:r>
        <w:rPr>
          <w:rFonts w:ascii="Verdana" w:hAnsi="Verdana"/>
          <w:b/>
          <w:sz w:val="18"/>
        </w:rPr>
        <w:t>3 01 122 (Fecha/hora (hasta centésimas de segundo))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D72: La hora de lanzamiento se notificará con el mayor grado de exactitud posible. Si no se dispone de la hora de lanzamiento con una exactitud de segundos, la entrada para los segundos se fijará en cero.</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Cambio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01 123 (Información de encabezamiento completo de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0 sitio principal, = 1 sitio de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Indicador de ubicación abreviado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Número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abreviado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Identificación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0 25 068</w:t>
            </w:r>
          </w:p>
        </w:tc>
        <w:tc>
          <w:tcPr>
            <w:tcW w:type="dxa" w:w="3784"/>
          </w:tcPr>
          <w:p>
            <w:pPr>
              <w:spacing w:before="20" w:after="20"/>
            </w:pPr>
            <w:r/>
            <w:r>
              <w:rPr>
                <w:rFonts w:ascii="Verdana" w:hAnsi="Verdana"/>
                <w:b w:val="0"/>
                <w:sz w:val="16"/>
              </w:rPr>
              <w:t>Número de recálculos de archivo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Número de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Número de liberación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Número de serie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Frecuencia de funcionamiento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Sistema de recepción en tierra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0 25 067</w:t>
            </w:r>
          </w:p>
        </w:tc>
        <w:tc>
          <w:tcPr>
            <w:tcW w:type="dxa" w:w="3784"/>
          </w:tcPr>
          <w:p>
            <w:pPr>
              <w:spacing w:before="20" w:after="20"/>
            </w:pPr>
            <w:r/>
            <w:r>
              <w:rPr>
                <w:rFonts w:ascii="Verdana" w:hAnsi="Verdana"/>
                <w:b w:val="0"/>
                <w:sz w:val="16"/>
              </w:rPr>
              <w:t>Corrección de la presión en el punto de liberación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0 25 065</w:t>
            </w:r>
          </w:p>
        </w:tc>
        <w:tc>
          <w:tcPr>
            <w:tcW w:type="dxa" w:w="3784"/>
          </w:tcPr>
          <w:p>
            <w:pPr>
              <w:spacing w:before="20" w:after="20"/>
            </w:pPr>
            <w:r/>
            <w:r>
              <w:rPr>
                <w:rFonts w:ascii="Verdana" w:hAnsi="Verdana"/>
                <w:b w:val="0"/>
                <w:sz w:val="16"/>
              </w:rPr>
              <w:t>Corrección de la orientación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0 25 066</w:t>
            </w:r>
          </w:p>
        </w:tc>
        <w:tc>
          <w:tcPr>
            <w:tcW w:type="dxa" w:w="3784"/>
          </w:tcPr>
          <w:p>
            <w:pPr>
              <w:spacing w:before="20" w:after="20"/>
            </w:pPr>
            <w:r/>
            <w:r>
              <w:rPr>
                <w:rFonts w:ascii="Verdana" w:hAnsi="Verdana"/>
                <w:b w:val="0"/>
                <w:sz w:val="16"/>
              </w:rPr>
              <w:t>Corrección de la orientación (elevación)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Tipo de sensor de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Tipo de sensor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Tipo de sensor de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Tipo de refugio para globos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Tipo de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0 01 093</w:t>
            </w:r>
          </w:p>
        </w:tc>
        <w:tc>
          <w:tcPr>
            <w:tcW w:type="dxa" w:w="3784"/>
          </w:tcPr>
          <w:p>
            <w:pPr>
              <w:spacing w:before="20" w:after="20"/>
            </w:pPr>
            <w:r/>
            <w:r>
              <w:rPr>
                <w:rFonts w:ascii="Verdana" w:hAnsi="Verdana"/>
                <w:b w:val="0"/>
                <w:sz w:val="16"/>
              </w:rPr>
              <w:t>Número de lote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Tipo de gas utilizado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Cantidad de gas utilizada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Longitud de arrastre de vuelo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Peso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2 fecha de fabricación del globo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01 125 (Información de encabezamiento de ASCAT)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emplazamiento de la plataforma de observación en movimiento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01 126 (Secuencia para la representación de identificadores de boyas fondeadas)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OMM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Tipo de boya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01 128 (Información adicional sobre el ascenso de la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Número de serie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Número de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Número de lanzamiento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Identificación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0 02 015</w:t>
            </w:r>
          </w:p>
        </w:tc>
        <w:tc>
          <w:tcPr>
            <w:tcW w:type="dxa" w:w="3784"/>
          </w:tcPr>
          <w:p>
            <w:pPr>
              <w:spacing w:before="20" w:after="20"/>
            </w:pPr>
            <w:r/>
            <w:r>
              <w:rPr>
                <w:rFonts w:ascii="Verdana" w:hAnsi="Verdana"/>
                <w:b w:val="0"/>
                <w:sz w:val="16"/>
              </w:rPr>
              <w:t>Integralidad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0 02 017</w:t>
            </w:r>
          </w:p>
        </w:tc>
        <w:tc>
          <w:tcPr>
            <w:tcW w:type="dxa" w:w="3784"/>
          </w:tcPr>
          <w:p>
            <w:pPr>
              <w:spacing w:before="20" w:after="20"/>
            </w:pPr>
            <w:r/>
            <w:r>
              <w:rPr>
                <w:rFonts w:ascii="Verdana" w:hAnsi="Verdana"/>
                <w:b w:val="0"/>
                <w:sz w:val="16"/>
              </w:rPr>
              <w:t>Algoritmos de corrección de las mediciones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Sistema de recepción en tierra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Frecuencia de funcionamiento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Tipo de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Peso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Tipo de refugio para globos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Tipo de gas utilizado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Cantidad de gas utilizada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Longitud de arrastre de vuelo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Tipo de sensor de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Tipo de sensor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Tipo de sensor de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0 02 103</w:t>
            </w:r>
          </w:p>
        </w:tc>
        <w:tc>
          <w:tcPr>
            <w:tcW w:type="dxa" w:w="3784"/>
          </w:tcPr>
          <w:p>
            <w:pPr>
              <w:spacing w:before="20" w:after="20"/>
            </w:pPr>
            <w:r/>
            <w:r>
              <w:rPr>
                <w:rFonts w:ascii="Verdana" w:hAnsi="Verdana"/>
                <w:b w:val="0"/>
                <w:sz w:val="16"/>
              </w:rPr>
              <w:t>Radomo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Cálculo de la 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la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0 35 035</w:t>
            </w:r>
          </w:p>
        </w:tc>
        <w:tc>
          <w:tcPr>
            <w:tcW w:type="dxa" w:w="3784"/>
          </w:tcPr>
          <w:p>
            <w:pPr>
              <w:spacing w:before="20" w:after="20"/>
            </w:pPr>
            <w:r/>
            <w:r>
              <w:rPr>
                <w:rFonts w:ascii="Verdana" w:hAnsi="Verdana"/>
                <w:b w:val="0"/>
                <w:sz w:val="16"/>
              </w:rPr>
              <w:t>Motivo de la terminación</w:t>
            </w:r>
          </w:p>
        </w:tc>
        <w:tc>
          <w:tcPr>
            <w:tcW w:type="dxa" w:w="3784"/>
          </w:tcPr>
          <w:p>
            <w:pPr>
              <w:spacing w:before="20" w:after="20"/>
            </w:pPr>
            <w:r/>
            <w:r>
              <w:rPr>
                <w:rFonts w:ascii="Verdana" w:hAnsi="Verdana"/>
                <w:b w:val="0"/>
                <w:sz w:val="16"/>
              </w:rPr>
              <w:t>Motivo de la terminación del ascenso</w:t>
            </w:r>
          </w:p>
        </w:tc>
        <w:tc>
          <w:tcPr>
            <w:tcW w:type="dxa" w:w="3784"/>
          </w:tcPr>
          <w:p>
            <w:pPr>
              <w:spacing w:before="20" w:after="20"/>
            </w:pPr>
            <w:r/>
            <w:r>
              <w:rPr>
                <w:rFonts w:ascii="Verdana" w:hAnsi="Verdana"/>
                <w:b w:val="0"/>
                <w:sz w:val="16"/>
              </w:rPr>
            </w:r>
          </w:p>
        </w:tc>
      </w:tr>
    </w:tbl>
    <w:p/>
    <w:p>
      <w:r>
        <w:rPr>
          <w:rFonts w:ascii="Verdana" w:hAnsi="Verdana"/>
          <w:b/>
          <w:sz w:val="18"/>
        </w:rPr>
        <w:t>3 01 129 (Satélite e instrumentos de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01 130 (Registro temporal de alta precisión)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Añadir 3 a la escala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Añadir 10 a la anchura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01 131 (Geoposicionamiento de los píxeles)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Angulo cenital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Ángulo cenital del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solar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01 132 (Secuencia de encabezamiento común)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Identificadores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t>Note D48: Los descriptores de latitud y longitud 0 05 001 y 0 06 001 indican la posición del instrumento y no la medición (que se cifra separadamente en la secuencia de datos asociada).</w:t>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por encima del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=29 fin del barrido o tiempo de finalización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0 02 006</w:t>
            </w:r>
          </w:p>
        </w:tc>
        <w:tc>
          <w:tcPr>
            <w:tcW w:type="dxa" w:w="3784"/>
          </w:tcPr>
          <w:p>
            <w:pPr>
              <w:spacing w:before="20" w:after="20"/>
            </w:pPr>
            <w:r/>
            <w:r>
              <w:rPr>
                <w:rFonts w:ascii="Verdana" w:hAnsi="Verdana"/>
                <w:b w:val="0"/>
                <w:sz w:val="16"/>
              </w:rPr>
              <w:t>Tipo de instrumento de teledetección en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del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0 01 085</w:t>
            </w:r>
          </w:p>
        </w:tc>
        <w:tc>
          <w:tcPr>
            <w:tcW w:type="dxa" w:w="3784"/>
          </w:tcPr>
          <w:p>
            <w:pPr>
              <w:spacing w:before="20" w:after="20"/>
            </w:pPr>
            <w:r/>
            <w:r>
              <w:rPr>
                <w:rFonts w:ascii="Verdana" w:hAnsi="Verdana"/>
                <w:b w:val="0"/>
                <w:sz w:val="16"/>
              </w:rPr>
              <w:t>Modelo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01 150 (Identificador del WIGOS)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0 01 125</w:t>
            </w:r>
          </w:p>
        </w:tc>
        <w:tc>
          <w:tcPr>
            <w:tcW w:type="dxa" w:w="3784"/>
          </w:tcPr>
          <w:p>
            <w:pPr>
              <w:spacing w:before="20" w:after="20"/>
            </w:pPr>
            <w:r/>
            <w:r>
              <w:rPr>
                <w:rFonts w:ascii="Verdana" w:hAnsi="Verdana"/>
                <w:b w:val="0"/>
                <w:sz w:val="16"/>
              </w:rPr>
              <w:t>Serie de identificadores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0 01 126</w:t>
            </w:r>
          </w:p>
        </w:tc>
        <w:tc>
          <w:tcPr>
            <w:tcW w:type="dxa" w:w="3784"/>
          </w:tcPr>
          <w:p>
            <w:pPr>
              <w:spacing w:before="20" w:after="20"/>
            </w:pPr>
            <w:r/>
            <w:r>
              <w:rPr>
                <w:rFonts w:ascii="Verdana" w:hAnsi="Verdana"/>
                <w:b w:val="0"/>
                <w:sz w:val="16"/>
              </w:rPr>
              <w:t>Emisor del 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0 01 127</w:t>
            </w:r>
          </w:p>
        </w:tc>
        <w:tc>
          <w:tcPr>
            <w:tcW w:type="dxa" w:w="3784"/>
          </w:tcPr>
          <w:p>
            <w:pPr>
              <w:spacing w:before="20" w:after="20"/>
            </w:pPr>
            <w:r/>
            <w:r>
              <w:rPr>
                <w:rFonts w:ascii="Verdana" w:hAnsi="Verdana"/>
                <w:b w:val="0"/>
                <w:sz w:val="16"/>
              </w:rPr>
              <w:t>Número de emisión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0 01 128</w:t>
            </w:r>
          </w:p>
        </w:tc>
        <w:tc>
          <w:tcPr>
            <w:tcW w:type="dxa" w:w="3784"/>
          </w:tcPr>
          <w:p>
            <w:pPr>
              <w:spacing w:before="20" w:after="20"/>
            </w:pPr>
            <w:r/>
            <w:r>
              <w:rPr>
                <w:rFonts w:ascii="Verdana" w:hAnsi="Verdana"/>
                <w:b w:val="0"/>
                <w:sz w:val="16"/>
              </w:rPr>
              <w:t>Identificador local del WIGOS (carácter)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D62: Estos descriptores no deben utilizarse en CREX para la transmisión.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