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w:t>
      </w:r>
    </w:p>
    <w:p>
      <w:r>
        <w:rPr>
          <w:rFonts w:ascii="Verdana" w:hAnsi="Verdana"/>
          <w:b/>
          <w:sz w:val="18"/>
        </w:rPr>
        <w:t>0 01 003  Région OMM/zone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Antarctique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Région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01 007  Indicateur d'identification du satellite (Voir la table de code commune C-5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CF10: (Voir la table de code commune C-5 dans la Partie C/c.)</w:t>
      </w:r>
    </w:p>
    <w:p/>
    <w:p>
      <w:r>
        <w:rPr>
          <w:rFonts w:ascii="Verdana" w:hAnsi="Verdana"/>
          <w:b/>
          <w:sz w:val="18"/>
        </w:rPr>
        <w:t>0 01 024  Source des données sur la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PNT: 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PNT: 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PNT: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Climatologie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Diffusiomètre embarqué à bord de satellites 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01 028  Source des données sur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l'épaisseur optique des aérosols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01 029  Source des données sur le flux radiatif solaire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ce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MSG_SEVIRI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01 031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(Voir la table de code commune C-1 dans la Partie C/c.)</w:t>
      </w:r>
    </w:p>
    <w:p/>
    <w:p>
      <w:r>
        <w:rPr>
          <w:rFonts w:ascii="Verdana" w:hAnsi="Verdana"/>
          <w:b/>
          <w:sz w:val="18"/>
        </w:rPr>
        <w:t>0 01 033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(Voir la table de code commune C-1 dans la Partie C/c.)</w:t>
      </w:r>
    </w:p>
    <w:p/>
    <w:p>
      <w:r>
        <w:rPr>
          <w:rFonts w:ascii="Verdana" w:hAnsi="Verdana"/>
          <w:b/>
          <w:sz w:val="18"/>
        </w:rPr>
        <w:t>0 01 034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CF14: (A definir par les centres proprement dits - Voir la table de code commune C-12 dans la Partie C/c.)</w:t>
      </w:r>
    </w:p>
    <w:p/>
    <w:p>
      <w:r>
        <w:rPr>
          <w:rFonts w:ascii="Verdana" w:hAnsi="Verdana"/>
          <w:b/>
          <w:sz w:val="18"/>
        </w:rPr>
        <w:t>0 01 036  Organisme chargé de la mise en œuvre de la plate-forme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Australie,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Australie,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Australie,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Canada, Marine Environmental Data Service (MEDS)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124002</w:t>
            </w:r>
          </w:p>
        </w:tc>
        <w:tc>
          <w:tcPr>
            <w:tcW w:type="dxa" w:w="5046"/>
          </w:tcPr>
          <w:p>
            <w:pPr>
              <w:spacing w:before="20" w:after="20"/>
            </w:pPr>
            <w:r/>
            <w:r>
              <w:rPr>
                <w:rFonts w:ascii="Verdana" w:hAnsi="Verdana"/>
                <w:b w:val="0"/>
                <w:sz w:val="16"/>
              </w:rPr>
              <w:t>Canada,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Canada, Environnement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Canada, Ministère de la défense nationale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Canada,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Chine,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Chine,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Chine,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France,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Allemagne,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Allemagne,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Inde,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Inde,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Inde,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Japon,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Japon,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Japon,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République de Corée,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République de Corée,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République de Corée,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Nouvelle-Calédonie,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Nouvelle-Zélande,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Russie,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Russie,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Espagne, Instituto Español de Oceanografía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Royaume-Uni,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Royaume-Uni, Southampton Oceanography Centre (SOC)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826003-840000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États-Unis, NOAA Atlantic Oceanographic and Meteorological Laboratories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États-Unis, NOAA Pacific Marine Environmental Laboratories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États-Unis,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États-Unis,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États-Unis,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États-Unis,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CF78: Les trois premiers chiffres representent le code ISO du pays.</w:t>
      </w:r>
    </w:p>
    <w:p/>
    <w:p>
      <w:r>
        <w:rPr>
          <w:rFonts w:ascii="Verdana" w:hAnsi="Verdana"/>
          <w:b/>
          <w:sz w:val="18"/>
        </w:rPr>
        <w:t>0 01 038  Source des données sur la fraction de glace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jeu de données sur les 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Produits SSM/I du NSIDC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Masque de nuages du CMS (France) utilisé dans le cadre du projet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SAF OSI d'EUMETSAT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01 044  Application de production standard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Association intégralement pondérée de contrôles individuels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Association pondérée de contrôles individuels, à l'exclusion de la comparaison de prévisions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Fonction de filtre récursif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Indice de qualité commun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Indice de qualité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Indice de qualité avec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estimative en m/s convertie en degré de confiance (pourcentage)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01 052  Indicateur d'identification de l'émetteur de la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01 090  Technique d'établissement des perturbations initiales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moyenne à décalage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Méthode «d'élevage»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Vecteurs singuliers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Cycles d'analyses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01 092  Type de la prévision d'ensemble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de contrôle à haute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Prévision de contrôle à basse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Prévision avec «perturbation» 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Prévision avec «perturbation» 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01 101  Indicateur d'identification d'État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Algérie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Bénin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Cameroun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République centrafricaine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République démocratique du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Égypte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Érythrée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Éthiopie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Guinée-Bissau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Maroc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Niger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Sao Tomé-et-Principe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Sénégal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Afrique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Espagne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Soudan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Tunisie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Ouganda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Royaume-Uni de Grande-Bretagne et d'Irlande du Nord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République-Unie de Tanzanie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En réserve pour la Région I (Afrique)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Afghanistan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Bahreïn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Bhoutan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République populaire démocratique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Iran, République islamique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Koweït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Kirghizistan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République démocratique populaire lao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Népal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République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République du Yémen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Fédération de Russie (CR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Arabie saoudite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Tadjikistan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Thaïlande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Turkménistan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Émirats arabes unis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Ouzbékistan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En réserve pour la Région II (Asie)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Bolivie, État plurinational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Équateur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France (CR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Pérou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En réserve pour la Région III (Amérique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Antigua-et-Barbuda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Territoires britanniques des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République dominicaine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Haïti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Jamaïque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Mexique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et Sint-Maarten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Sainte-Lucie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Trinité-et-Tobago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Royaume-Uni de Grande-Bretagne et d'Irlande du Nord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États-Unis d'Amérique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En réserve pour la Région IV (Amérique du Nord, Amérique centrale et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Brunéi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Îles Cook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Fidji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Polynésie française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Indonésie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Micronésie, États fédérés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Nouvelle-Calédonie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Nouvelle-Zélande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Papouasie-Nouvelle-Guinée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Philippines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Îles Salomon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Royaume-Uni de Grande-Bretagne et d'Irlande du Nord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États-Unis d'Amérique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En réserve pour la Région V (Pacifique Sud-Ouest)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Autriche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Azerbaïdjan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Bélarus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Belgique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Bosnie-Herzégovine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Chypre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Tchéquie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Danemark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Géorgie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Allemagne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Grèce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Hongrie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Islande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Israël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Lettonie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Liban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Lituanie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Luxembourg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Monaco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Monténégro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Pays-Bas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Norvège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Pologne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République de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Roumanie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Fédération de Russie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Slovaquie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Slovénie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Espagne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Suède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Suisse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République arabe syrienne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Macédoine du Nord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Ukraine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Royaume-Uni de Grande-Bretagne et d'Irlande du Nord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En réserve pour la Région VI (Europe)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01 150  Système de coordonnées de référence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utilisé par l'OACI depuis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défini par l'EPSG:4258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défini par l'EPSG:4269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défini par l'EPSG:4314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pPr>
              <w:spacing w:before="20" w:after="20"/>
            </w:pPr>
            <w:r/>
            <w:r>
              <w:rPr>
                <w:rFonts w:ascii="Verdana" w:hAnsi="Verdana"/>
                <w:b w:val="0"/>
                <w:sz w:val="16"/>
              </w:rPr>
              <w:t>Note CF92: Lorsque le chiffre du code 4 est utilise pour preciser un systeme de coordonnees de reference, la donnee ellipsoidale est alors un ellipsoide de revolution aplati, dont le grand axe s'oriente dans le meme plan que le plan equatorial et le petit axe coupe le meridien d'origine pres du pole d'origine.</w:t>
            </w:r>
          </w:p>
        </w:tc>
      </w:tr>
      <w:tr>
        <w:trPr>
          <w:cantSplit/>
        </w:trPr>
        <w:tc>
          <w:tcPr>
            <w:tcW w:type="dxa" w:w="5046"/>
          </w:tcPr>
          <w:p>
            <w:pPr>
              <w:spacing w:before="20" w:after="20"/>
            </w:pPr>
            <w:r/>
            <w:r>
              <w:rPr>
                <w:rFonts w:ascii="Verdana" w:hAnsi="Verdana"/>
                <w:b w:val="0"/>
                <w:sz w:val="16"/>
              </w:rPr>
              <w:t>5-65534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p>
      <w:r>
        <w:rPr>
          <w:rFonts w:ascii="Verdana" w:hAnsi="Verdana"/>
          <w:b/>
          <w:sz w:val="18"/>
        </w:rPr>
        <w:t>0 01 151  Données de référence sur le niveau moyen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Modèle gravitationnel de la Terre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Baltic Height System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