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08 : Caractéristiques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0 08 001</w:t>
            </w:r>
          </w:p>
        </w:tc>
        <w:tc>
          <w:tcPr>
            <w:tcW w:type="dxa" w:w="1514"/>
          </w:tcPr>
          <w:p>
            <w:pPr>
              <w:spacing w:before="20" w:after="20"/>
            </w:pPr>
            <w:r/>
            <w:r>
              <w:rPr>
                <w:rFonts w:ascii="Verdana" w:hAnsi="Verdana"/>
                <w:b w:val="0"/>
                <w:sz w:val="16"/>
              </w:rPr>
              <w:t>Caractéristique correspondant à des données de sondage vertical</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0 08 002</w:t>
            </w:r>
          </w:p>
        </w:tc>
        <w:tc>
          <w:tcPr>
            <w:tcW w:type="dxa" w:w="1514"/>
          </w:tcPr>
          <w:p>
            <w:pPr>
              <w:spacing w:before="20" w:after="20"/>
            </w:pPr>
            <w:r/>
            <w:r>
              <w:rPr>
                <w:rFonts w:ascii="Verdana" w:hAnsi="Verdana"/>
                <w:b w:val="0"/>
                <w:sz w:val="16"/>
              </w:rPr>
              <w:t>Caractéristique verticale (observations en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0 08 003</w:t>
            </w:r>
          </w:p>
        </w:tc>
        <w:tc>
          <w:tcPr>
            <w:tcW w:type="dxa" w:w="1514"/>
          </w:tcPr>
          <w:p>
            <w:pPr>
              <w:spacing w:before="20" w:after="20"/>
            </w:pPr>
            <w:r/>
            <w:r>
              <w:rPr>
                <w:rFonts w:ascii="Verdana" w:hAnsi="Verdana"/>
                <w:b w:val="0"/>
                <w:sz w:val="16"/>
              </w:rPr>
              <w:t>Caractéristique verticale (observations par satellite)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0 08 004</w:t>
            </w:r>
          </w:p>
        </w:tc>
        <w:tc>
          <w:tcPr>
            <w:tcW w:type="dxa" w:w="1514"/>
          </w:tcPr>
          <w:p>
            <w:pPr>
              <w:spacing w:before="20" w:after="20"/>
            </w:pPr>
            <w:r/>
            <w:r>
              <w:rPr>
                <w:rFonts w:ascii="Verdana" w:hAnsi="Verdana"/>
                <w:b w:val="0"/>
                <w:sz w:val="16"/>
              </w:rPr>
              <w:t>Phase de vol de l'aéronef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0 08 005</w:t>
            </w:r>
          </w:p>
        </w:tc>
        <w:tc>
          <w:tcPr>
            <w:tcW w:type="dxa" w:w="1514"/>
          </w:tcPr>
          <w:p>
            <w:pPr>
              <w:spacing w:before="20" w:after="20"/>
            </w:pPr>
            <w:r/>
            <w:r>
              <w:rPr>
                <w:rFonts w:ascii="Verdana" w:hAnsi="Verdana"/>
                <w:b w:val="0"/>
                <w:sz w:val="16"/>
              </w:rPr>
              <w:t>Signification de la caractéristique météorologique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0 08 006</w:t>
            </w:r>
          </w:p>
        </w:tc>
        <w:tc>
          <w:tcPr>
            <w:tcW w:type="dxa" w:w="1514"/>
          </w:tcPr>
          <w:p>
            <w:pPr>
              <w:spacing w:before="20" w:after="20"/>
            </w:pPr>
            <w:r/>
            <w:r>
              <w:rPr>
                <w:rFonts w:ascii="Verdana" w:hAnsi="Verdana"/>
                <w:b w:val="0"/>
                <w:sz w:val="16"/>
              </w:rPr>
              <w:t>Caractéristique du sondage vertical de l'ozone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0 08 007</w:t>
            </w:r>
          </w:p>
        </w:tc>
        <w:tc>
          <w:tcPr>
            <w:tcW w:type="dxa" w:w="1514"/>
          </w:tcPr>
          <w:p>
            <w:pPr>
              <w:spacing w:before="20" w:after="20"/>
            </w:pPr>
            <w:r/>
            <w:r>
              <w:rPr>
                <w:rFonts w:ascii="Verdana" w:hAnsi="Verdana"/>
                <w:b w:val="0"/>
                <w:sz w:val="16"/>
              </w:rPr>
              <w:t>Caractéristique dimensionnelle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0 08 008</w:t>
            </w:r>
          </w:p>
        </w:tc>
        <w:tc>
          <w:tcPr>
            <w:tcW w:type="dxa" w:w="1514"/>
          </w:tcPr>
          <w:p>
            <w:pPr>
              <w:spacing w:before="20" w:after="20"/>
            </w:pPr>
            <w:r/>
            <w:r>
              <w:rPr>
                <w:rFonts w:ascii="Verdana" w:hAnsi="Verdana"/>
                <w:b w:val="0"/>
                <w:sz w:val="16"/>
              </w:rPr>
              <w:t>Caractéristique correspondant à des données de sondage vertical du rayonnement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0 08 009</w:t>
            </w:r>
          </w:p>
        </w:tc>
        <w:tc>
          <w:tcPr>
            <w:tcW w:type="dxa" w:w="1514"/>
          </w:tcPr>
          <w:p>
            <w:pPr>
              <w:spacing w:before="20" w:after="20"/>
            </w:pPr>
            <w:r/>
            <w:r>
              <w:rPr>
                <w:rFonts w:ascii="Verdana" w:hAnsi="Verdana"/>
                <w:b w:val="0"/>
                <w:sz w:val="16"/>
              </w:rPr>
              <w:t>Phase de vol détaillée de l'aéronef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0 08 010</w:t>
            </w:r>
          </w:p>
        </w:tc>
        <w:tc>
          <w:tcPr>
            <w:tcW w:type="dxa" w:w="1514"/>
          </w:tcPr>
          <w:p>
            <w:pPr>
              <w:spacing w:before="20" w:after="20"/>
            </w:pPr>
            <w:r/>
            <w:r>
              <w:rPr>
                <w:rFonts w:ascii="Verdana" w:hAnsi="Verdana"/>
                <w:b w:val="0"/>
                <w:sz w:val="16"/>
              </w:rPr>
              <w:t>Caractéristique de la surface (données de température)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0 08 011</w:t>
            </w:r>
          </w:p>
        </w:tc>
        <w:tc>
          <w:tcPr>
            <w:tcW w:type="dxa" w:w="1514"/>
          </w:tcPr>
          <w:p>
            <w:pPr>
              <w:spacing w:before="20" w:after="20"/>
            </w:pPr>
            <w:r/>
            <w:r>
              <w:rPr>
                <w:rFonts w:ascii="Verdana" w:hAnsi="Verdana"/>
                <w:b w:val="0"/>
                <w:sz w:val="16"/>
              </w:rPr>
              <w:t>Caractéristique météorologique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0 08 012</w:t>
            </w:r>
          </w:p>
        </w:tc>
        <w:tc>
          <w:tcPr>
            <w:tcW w:type="dxa" w:w="1514"/>
          </w:tcPr>
          <w:p>
            <w:pPr>
              <w:spacing w:before="20" w:after="20"/>
            </w:pPr>
            <w:r/>
            <w:r>
              <w:rPr>
                <w:rFonts w:ascii="Verdana" w:hAnsi="Verdana"/>
                <w:b w:val="0"/>
                <w:sz w:val="16"/>
              </w:rPr>
              <w:t>Identificateur terre/mer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0 08 013</w:t>
            </w:r>
          </w:p>
        </w:tc>
        <w:tc>
          <w:tcPr>
            <w:tcW w:type="dxa" w:w="1514"/>
          </w:tcPr>
          <w:p>
            <w:pPr>
              <w:spacing w:before="20" w:after="20"/>
            </w:pPr>
            <w:r/>
            <w:r>
              <w:rPr>
                <w:rFonts w:ascii="Verdana" w:hAnsi="Verdana"/>
                <w:b w:val="0"/>
                <w:sz w:val="16"/>
              </w:rPr>
              <w:t>Identificateur jour/nuit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0 08 014</w:t>
            </w:r>
          </w:p>
        </w:tc>
        <w:tc>
          <w:tcPr>
            <w:tcW w:type="dxa" w:w="1514"/>
          </w:tcPr>
          <w:p>
            <w:pPr>
              <w:spacing w:before="20" w:after="20"/>
            </w:pPr>
            <w:r/>
            <w:r>
              <w:rPr>
                <w:rFonts w:ascii="Verdana" w:hAnsi="Verdana"/>
                <w:b w:val="0"/>
                <w:sz w:val="16"/>
              </w:rPr>
              <w:t>Identificateur pour la portée visuelle de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0 08 015</w:t>
            </w:r>
          </w:p>
        </w:tc>
        <w:tc>
          <w:tcPr>
            <w:tcW w:type="dxa" w:w="1514"/>
          </w:tcPr>
          <w:p>
            <w:pPr>
              <w:spacing w:before="20" w:after="20"/>
            </w:pPr>
            <w:r/>
            <w:r>
              <w:rPr>
                <w:rFonts w:ascii="Verdana" w:hAnsi="Verdana"/>
                <w:b w:val="0"/>
                <w:sz w:val="16"/>
              </w:rPr>
              <w:t>Caractéristique du capteur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0 08 016</w:t>
            </w:r>
          </w:p>
        </w:tc>
        <w:tc>
          <w:tcPr>
            <w:tcW w:type="dxa" w:w="1514"/>
          </w:tcPr>
          <w:p>
            <w:pPr>
              <w:spacing w:before="20" w:after="20"/>
            </w:pPr>
            <w:r/>
            <w:r>
              <w:rPr>
                <w:rFonts w:ascii="Verdana" w:hAnsi="Verdana"/>
                <w:b w:val="0"/>
                <w:sz w:val="16"/>
              </w:rPr>
              <w:t>Identificateur de changement d'une prévision de type «tendance» ou d'une prévision d'aérodrome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0 08 017</w:t>
            </w:r>
          </w:p>
        </w:tc>
        <w:tc>
          <w:tcPr>
            <w:tcW w:type="dxa" w:w="1514"/>
          </w:tcPr>
          <w:p>
            <w:pPr>
              <w:spacing w:before="20" w:after="20"/>
            </w:pPr>
            <w:r/>
            <w:r>
              <w:rPr>
                <w:rFonts w:ascii="Verdana" w:hAnsi="Verdana"/>
                <w:b w:val="0"/>
                <w:sz w:val="16"/>
              </w:rPr>
              <w:t>Identificateur de l'heure à laquelle le changement de prévision est attendu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0 08 018</w:t>
            </w:r>
          </w:p>
        </w:tc>
        <w:tc>
          <w:tcPr>
            <w:tcW w:type="dxa" w:w="1514"/>
          </w:tcPr>
          <w:p>
            <w:pPr>
              <w:spacing w:before="20" w:after="20"/>
            </w:pPr>
            <w:r/>
            <w:r>
              <w:rPr>
                <w:rFonts w:ascii="Verdana" w:hAnsi="Verdana"/>
                <w:b w:val="0"/>
                <w:sz w:val="16"/>
              </w:rPr>
              <w:t>Type de surface terre/glace mesurée par SEAWINDS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0 08 019</w:t>
            </w:r>
          </w:p>
        </w:tc>
        <w:tc>
          <w:tcPr>
            <w:tcW w:type="dxa" w:w="1514"/>
          </w:tcPr>
          <w:p>
            <w:pPr>
              <w:spacing w:before="20" w:after="20"/>
            </w:pPr>
            <w:r/>
            <w:r>
              <w:rPr>
                <w:rFonts w:ascii="Verdana" w:hAnsi="Verdana"/>
                <w:b w:val="0"/>
                <w:sz w:val="16"/>
              </w:rPr>
              <w:t>Indicateur d'identification du centre suivant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0 08 020</w:t>
            </w:r>
          </w:p>
        </w:tc>
        <w:tc>
          <w:tcPr>
            <w:tcW w:type="dxa" w:w="1514"/>
          </w:tcPr>
          <w:p>
            <w:pPr>
              <w:spacing w:before="20" w:after="20"/>
            </w:pPr>
            <w:r/>
            <w:r>
              <w:rPr>
                <w:rFonts w:ascii="Verdana" w:hAnsi="Verdana"/>
                <w:b w:val="0"/>
                <w:sz w:val="16"/>
              </w:rPr>
              <w:t>Nombre total de valeurs manquantes (pour le calcul du total ou de la moyenne)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0 08 021</w:t>
            </w:r>
          </w:p>
        </w:tc>
        <w:tc>
          <w:tcPr>
            <w:tcW w:type="dxa" w:w="1514"/>
          </w:tcPr>
          <w:p>
            <w:pPr>
              <w:spacing w:before="20" w:after="20"/>
            </w:pPr>
            <w:r/>
            <w:r>
              <w:rPr>
                <w:rFonts w:ascii="Verdana" w:hAnsi="Verdana"/>
                <w:b w:val="0"/>
                <w:sz w:val="16"/>
              </w:rPr>
              <w:t>Caractéristique temporelle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0 08 022</w:t>
            </w:r>
          </w:p>
        </w:tc>
        <w:tc>
          <w:tcPr>
            <w:tcW w:type="dxa" w:w="1514"/>
          </w:tcPr>
          <w:p>
            <w:pPr>
              <w:spacing w:before="20" w:after="20"/>
            </w:pPr>
            <w:r/>
            <w:r>
              <w:rPr>
                <w:rFonts w:ascii="Verdana" w:hAnsi="Verdana"/>
                <w:b w:val="0"/>
                <w:sz w:val="16"/>
              </w:rPr>
              <w:t>Nombre total (dans le contexte d'une somme ou d'une moyenne)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0 08 023</w:t>
            </w:r>
          </w:p>
        </w:tc>
        <w:tc>
          <w:tcPr>
            <w:tcW w:type="dxa" w:w="1514"/>
          </w:tcPr>
          <w:p>
            <w:pPr>
              <w:spacing w:before="20" w:after="20"/>
            </w:pPr>
            <w:r/>
            <w:r>
              <w:rPr>
                <w:rFonts w:ascii="Verdana" w:hAnsi="Verdana"/>
                <w:b w:val="0"/>
                <w:sz w:val="16"/>
              </w:rPr>
              <w:t>Statistiques de premier ordre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B70: Les statistiques de premier ordre désignent des valeurs ayant des limites semblables et les mêmes dimensions que les valeurs observées correspondantes (par exemple, maxima, minima, moyennes, etc.).</w:t>
            </w:r>
          </w:p>
        </w:tc>
      </w:tr>
      <w:tr>
        <w:trPr>
          <w:cantSplit/>
        </w:trPr>
        <w:tc>
          <w:tcPr>
            <w:tcW w:type="dxa" w:w="1514"/>
          </w:tcPr>
          <w:p>
            <w:pPr>
              <w:spacing w:before="20" w:after="20"/>
            </w:pPr>
            <w:r/>
            <w:r>
              <w:rPr>
                <w:rFonts w:ascii="Verdana" w:hAnsi="Verdana"/>
                <w:b w:val="0"/>
                <w:sz w:val="16"/>
              </w:rPr>
              <w:t>0 08 024</w:t>
            </w:r>
          </w:p>
        </w:tc>
        <w:tc>
          <w:tcPr>
            <w:tcW w:type="dxa" w:w="1514"/>
          </w:tcPr>
          <w:p>
            <w:pPr>
              <w:spacing w:before="20" w:after="20"/>
            </w:pPr>
            <w:r/>
            <w:r>
              <w:rPr>
                <w:rFonts w:ascii="Verdana" w:hAnsi="Verdana"/>
                <w:b w:val="0"/>
                <w:sz w:val="16"/>
              </w:rPr>
              <w:t>Statistiques sur les différences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B61: Les statistiques sur les différences sont des valeurs différentielles ayant des dimensions similaires à celles des valeurs observées correspondantes en ce qui concerne les unités, mais dont les limites sont centrées sur le zéro (par exemple, différence entre les valeurs observées et les valeurs analysées, différence entre les valeurs observées et les valeurs prévues, etc.).</w:t>
            </w:r>
          </w:p>
        </w:tc>
      </w:tr>
      <w:tr>
        <w:trPr>
          <w:cantSplit/>
        </w:trPr>
        <w:tc>
          <w:tcPr>
            <w:tcW w:type="dxa" w:w="1514"/>
          </w:tcPr>
          <w:p>
            <w:pPr>
              <w:spacing w:before="20" w:after="20"/>
            </w:pPr>
            <w:r/>
            <w:r>
              <w:rPr>
                <w:rFonts w:ascii="Verdana" w:hAnsi="Verdana"/>
                <w:b w:val="0"/>
                <w:sz w:val="16"/>
              </w:rPr>
              <w:t>0 08 025</w:t>
            </w:r>
          </w:p>
        </w:tc>
        <w:tc>
          <w:tcPr>
            <w:tcW w:type="dxa" w:w="1514"/>
          </w:tcPr>
          <w:p>
            <w:pPr>
              <w:spacing w:before="20" w:after="20"/>
            </w:pPr>
            <w:r/>
            <w:r>
              <w:rPr>
                <w:rFonts w:ascii="Verdana" w:hAnsi="Verdana"/>
                <w:b w:val="0"/>
                <w:sz w:val="16"/>
              </w:rPr>
              <w:t>Décalage dans le temps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B49: Le descripteur 0 08 025 doit être utilisé conjointement avec le descripteur 0 26 003 (décalage dans le temps).</w:t>
            </w:r>
          </w:p>
        </w:tc>
      </w:tr>
      <w:tr>
        <w:trPr>
          <w:cantSplit/>
        </w:trPr>
        <w:tc>
          <w:tcPr>
            <w:tcW w:type="dxa" w:w="1514"/>
          </w:tcPr>
          <w:p>
            <w:pPr>
              <w:spacing w:before="20" w:after="20"/>
            </w:pPr>
            <w:r/>
            <w:r>
              <w:rPr>
                <w:rFonts w:ascii="Verdana" w:hAnsi="Verdana"/>
                <w:b w:val="0"/>
                <w:sz w:val="16"/>
              </w:rPr>
              <w:t>0 08 026</w:t>
            </w:r>
          </w:p>
        </w:tc>
        <w:tc>
          <w:tcPr>
            <w:tcW w:type="dxa" w:w="1514"/>
          </w:tcPr>
          <w:p>
            <w:pPr>
              <w:spacing w:before="20" w:after="20"/>
            </w:pPr>
            <w:r/>
            <w:r>
              <w:rPr>
                <w:rFonts w:ascii="Verdana" w:hAnsi="Verdana"/>
                <w:b w:val="0"/>
                <w:sz w:val="16"/>
              </w:rPr>
              <w:t>Caractéristique matricielle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0 08 029</w:t>
            </w:r>
          </w:p>
        </w:tc>
        <w:tc>
          <w:tcPr>
            <w:tcW w:type="dxa" w:w="1514"/>
          </w:tcPr>
          <w:p>
            <w:pPr>
              <w:spacing w:before="20" w:after="20"/>
            </w:pPr>
            <w:r/>
            <w:r>
              <w:rPr>
                <w:rFonts w:ascii="Verdana" w:hAnsi="Verdana"/>
                <w:b w:val="0"/>
                <w:sz w:val="16"/>
              </w:rPr>
              <w:t>Type de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0 08 030</w:t>
            </w:r>
          </w:p>
        </w:tc>
        <w:tc>
          <w:tcPr>
            <w:tcW w:type="dxa" w:w="1514"/>
          </w:tcPr>
          <w:p>
            <w:pPr>
              <w:spacing w:before="20" w:after="20"/>
            </w:pPr>
            <w:r/>
            <w:r>
              <w:rPr>
                <w:rFonts w:ascii="Verdana" w:hAnsi="Verdana"/>
                <w:b w:val="0"/>
                <w:sz w:val="16"/>
              </w:rPr>
              <w:t>Manuel des codes (Volume I.1, Section C), Table de code d'où sont tirées les données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0 08 031</w:t>
            </w:r>
          </w:p>
        </w:tc>
        <w:tc>
          <w:tcPr>
            <w:tcW w:type="dxa" w:w="1514"/>
          </w:tcPr>
          <w:p>
            <w:pPr>
              <w:spacing w:before="20" w:after="20"/>
            </w:pPr>
            <w:r/>
            <w:r>
              <w:rPr>
                <w:rFonts w:ascii="Verdana" w:hAnsi="Verdana"/>
                <w:b w:val="0"/>
                <w:sz w:val="16"/>
              </w:rPr>
              <w:t>Catégorie de données de la Table A du code CREX</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0 08 032</w:t>
            </w:r>
          </w:p>
        </w:tc>
        <w:tc>
          <w:tcPr>
            <w:tcW w:type="dxa" w:w="1514"/>
          </w:tcPr>
          <w:p>
            <w:pPr>
              <w:spacing w:before="20" w:after="20"/>
            </w:pPr>
            <w:r/>
            <w:r>
              <w:rPr>
                <w:rFonts w:ascii="Verdana" w:hAnsi="Verdana"/>
                <w:b w:val="0"/>
                <w:sz w:val="16"/>
              </w:rPr>
              <w:t>Mode de fonctionnement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0 08 033</w:t>
            </w:r>
          </w:p>
        </w:tc>
        <w:tc>
          <w:tcPr>
            <w:tcW w:type="dxa" w:w="1514"/>
          </w:tcPr>
          <w:p>
            <w:pPr>
              <w:spacing w:before="20" w:after="20"/>
            </w:pPr>
            <w:r/>
            <w:r>
              <w:rPr>
                <w:rFonts w:ascii="Verdana" w:hAnsi="Verdana"/>
                <w:b w:val="0"/>
                <w:sz w:val="16"/>
              </w:rPr>
              <w:t>Méthode de dérivation du pourcentage de confiance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B50: Le descripteur 0 08 033 doit être utilisé avant l’élément 0 33 007 comme partie de l’information sur le contrôle de qualité afin de spécifier la méthode utilisée pour calculer le pourcentage de confiance.</w:t>
            </w:r>
          </w:p>
        </w:tc>
      </w:tr>
      <w:tr>
        <w:trPr>
          <w:cantSplit/>
        </w:trPr>
        <w:tc>
          <w:tcPr>
            <w:tcW w:type="dxa" w:w="1514"/>
          </w:tcPr>
          <w:p>
            <w:pPr>
              <w:spacing w:before="20" w:after="20"/>
            </w:pPr>
            <w:r/>
            <w:r>
              <w:rPr>
                <w:rFonts w:ascii="Verdana" w:hAnsi="Verdana"/>
                <w:b w:val="0"/>
                <w:sz w:val="16"/>
              </w:rPr>
              <w:t>0 08 034</w:t>
            </w:r>
          </w:p>
        </w:tc>
        <w:tc>
          <w:tcPr>
            <w:tcW w:type="dxa" w:w="1514"/>
          </w:tcPr>
          <w:p>
            <w:pPr>
              <w:spacing w:before="20" w:after="20"/>
            </w:pPr>
            <w:r/>
            <w:r>
              <w:rPr>
                <w:rFonts w:ascii="Verdana" w:hAnsi="Verdana"/>
                <w:b w:val="0"/>
                <w:sz w:val="16"/>
              </w:rPr>
              <w:t>Indicateur de la mesure de la température ou de la salinité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0 08 035</w:t>
            </w:r>
          </w:p>
        </w:tc>
        <w:tc>
          <w:tcPr>
            <w:tcW w:type="dxa" w:w="1514"/>
          </w:tcPr>
          <w:p>
            <w:pPr>
              <w:spacing w:before="20" w:after="20"/>
            </w:pPr>
            <w:r/>
            <w:r>
              <w:rPr>
                <w:rFonts w:ascii="Verdana" w:hAnsi="Verdana"/>
                <w:b w:val="0"/>
                <w:sz w:val="16"/>
              </w:rPr>
              <w:t>Type d'exercice de contrôle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0 08 036</w:t>
            </w:r>
          </w:p>
        </w:tc>
        <w:tc>
          <w:tcPr>
            <w:tcW w:type="dxa" w:w="1514"/>
          </w:tcPr>
          <w:p>
            <w:pPr>
              <w:spacing w:before="20" w:after="20"/>
            </w:pPr>
            <w:r/>
            <w:r>
              <w:rPr>
                <w:rFonts w:ascii="Verdana" w:hAnsi="Verdana"/>
                <w:b w:val="0"/>
                <w:sz w:val="16"/>
              </w:rPr>
              <w:t>Type de centre ou de station effectuant le contrôle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0 08 037</w:t>
            </w:r>
          </w:p>
        </w:tc>
        <w:tc>
          <w:tcPr>
            <w:tcW w:type="dxa" w:w="1514"/>
          </w:tcPr>
          <w:p>
            <w:pPr>
              <w:spacing w:before="20" w:after="20"/>
            </w:pPr>
            <w:r/>
            <w:r>
              <w:rPr>
                <w:rFonts w:ascii="Verdana" w:hAnsi="Verdana"/>
                <w:b w:val="0"/>
                <w:sz w:val="16"/>
              </w:rPr>
              <w:t>Caractéristique du calage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0 08 038</w:t>
            </w:r>
          </w:p>
        </w:tc>
        <w:tc>
          <w:tcPr>
            <w:tcW w:type="dxa" w:w="1514"/>
          </w:tcPr>
          <w:p>
            <w:pPr>
              <w:spacing w:before="20" w:after="20"/>
            </w:pPr>
            <w:r/>
            <w:r>
              <w:rPr>
                <w:rFonts w:ascii="Verdana" w:hAnsi="Verdana"/>
                <w:b w:val="0"/>
                <w:sz w:val="16"/>
              </w:rPr>
              <w:t>Caractéristique des données instrumentales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0 08 039</w:t>
            </w:r>
          </w:p>
        </w:tc>
        <w:tc>
          <w:tcPr>
            <w:tcW w:type="dxa" w:w="1514"/>
          </w:tcPr>
          <w:p>
            <w:pPr>
              <w:spacing w:before="20" w:after="20"/>
            </w:pPr>
            <w:r/>
            <w:r>
              <w:rPr>
                <w:rFonts w:ascii="Verdana" w:hAnsi="Verdana"/>
                <w:b w:val="0"/>
                <w:sz w:val="16"/>
              </w:rPr>
              <w:t>Caractéristique temporelle (prévision aéronautique)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0 08 040</w:t>
            </w:r>
          </w:p>
        </w:tc>
        <w:tc>
          <w:tcPr>
            <w:tcW w:type="dxa" w:w="1514"/>
          </w:tcPr>
          <w:p>
            <w:pPr>
              <w:spacing w:before="20" w:after="20"/>
            </w:pPr>
            <w:r/>
            <w:r>
              <w:rPr>
                <w:rFonts w:ascii="Verdana" w:hAnsi="Verdana"/>
                <w:b w:val="0"/>
                <w:sz w:val="16"/>
              </w:rPr>
              <w:t>Caractéristique du niveau de vol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0 08 041</w:t>
            </w:r>
          </w:p>
        </w:tc>
        <w:tc>
          <w:tcPr>
            <w:tcW w:type="dxa" w:w="1514"/>
          </w:tcPr>
          <w:p>
            <w:pPr>
              <w:spacing w:before="20" w:after="20"/>
            </w:pPr>
            <w:r/>
            <w:r>
              <w:rPr>
                <w:rFonts w:ascii="Verdana" w:hAnsi="Verdana"/>
                <w:b w:val="0"/>
                <w:sz w:val="16"/>
              </w:rPr>
              <w:t>Caractéristique des données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0 08 042</w:t>
            </w:r>
          </w:p>
        </w:tc>
        <w:tc>
          <w:tcPr>
            <w:tcW w:type="dxa" w:w="1514"/>
          </w:tcPr>
          <w:p>
            <w:pPr>
              <w:spacing w:before="20" w:after="20"/>
            </w:pPr>
            <w:r/>
            <w:r>
              <w:rPr>
                <w:rFonts w:ascii="Verdana" w:hAnsi="Verdana"/>
                <w:b w:val="0"/>
                <w:sz w:val="16"/>
              </w:rPr>
              <w:t>Caractéristique étendue correspondant à des données de sondage vertical</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0 08 043</w:t>
            </w:r>
          </w:p>
        </w:tc>
        <w:tc>
          <w:tcPr>
            <w:tcW w:type="dxa" w:w="1514"/>
          </w:tcPr>
          <w:p>
            <w:pPr>
              <w:spacing w:before="20" w:after="20"/>
            </w:pPr>
            <w:r/>
            <w:r>
              <w:rPr>
                <w:rFonts w:ascii="Verdana" w:hAnsi="Verdana"/>
                <w:b w:val="0"/>
                <w:sz w:val="16"/>
              </w:rPr>
              <w:t>Type de constituants chimiques ou physiques de l'atmosphère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B169: Lorsque le descripteur 0 08 043 est utilisé pour désigner une matière particulaire d’une taille inférieure à un seuil de taille donné, le descripteur 0 08 045 peut aussi être utilisé pour désigner plus précisément un sous-ensemble de la population de particules à partir de la composition des ions.</w:t>
            </w:r>
          </w:p>
        </w:tc>
      </w:tr>
      <w:tr>
        <w:trPr>
          <w:cantSplit/>
        </w:trPr>
        <w:tc>
          <w:tcPr>
            <w:tcW w:type="dxa" w:w="1514"/>
          </w:tcPr>
          <w:p>
            <w:pPr>
              <w:spacing w:before="20" w:after="20"/>
            </w:pPr>
            <w:r/>
            <w:r>
              <w:rPr>
                <w:rFonts w:ascii="Verdana" w:hAnsi="Verdana"/>
                <w:b w:val="0"/>
                <w:sz w:val="16"/>
              </w:rPr>
              <w:t>0 08 044</w:t>
            </w:r>
          </w:p>
        </w:tc>
        <w:tc>
          <w:tcPr>
            <w:tcW w:type="dxa" w:w="1514"/>
          </w:tcPr>
          <w:p>
            <w:pPr>
              <w:spacing w:before="20" w:after="20"/>
            </w:pPr>
            <w:r/>
            <w:r>
              <w:rPr>
                <w:rFonts w:ascii="Verdana" w:hAnsi="Verdana"/>
                <w:b w:val="0"/>
                <w:sz w:val="16"/>
              </w:rPr>
              <w:t>Numéro d'enregistrement CAS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0 08 046</w:t>
            </w:r>
          </w:p>
        </w:tc>
        <w:tc>
          <w:tcPr>
            <w:tcW w:type="dxa" w:w="1514"/>
          </w:tcPr>
          <w:p>
            <w:pPr>
              <w:spacing w:before="20" w:after="20"/>
            </w:pPr>
            <w:r/>
            <w:r>
              <w:rPr>
                <w:rFonts w:ascii="Verdana" w:hAnsi="Verdana"/>
                <w:b w:val="0"/>
                <w:sz w:val="16"/>
              </w:rPr>
              <w:t>Type de constituants chimiques ou physiques de l'atmosphère</w:t>
            </w:r>
          </w:p>
        </w:tc>
        <w:tc>
          <w:tcPr>
            <w:tcW w:type="dxa" w:w="1514"/>
          </w:tcPr>
          <w:p>
            <w:pPr>
              <w:spacing w:before="20" w:after="20"/>
            </w:pPr>
            <w:r/>
            <w:r>
              <w:rPr>
                <w:rFonts w:ascii="Verdana" w:hAnsi="Verdana"/>
                <w:sz w:val="16"/>
              </w:rPr>
              <w:t>Table de code commune C-14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de code commune C-14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0 08 049</w:t>
            </w:r>
          </w:p>
        </w:tc>
        <w:tc>
          <w:tcPr>
            <w:tcW w:type="dxa" w:w="1514"/>
          </w:tcPr>
          <w:p>
            <w:pPr>
              <w:spacing w:before="20" w:after="20"/>
            </w:pPr>
            <w:r/>
            <w:r>
              <w:rPr>
                <w:rFonts w:ascii="Verdana" w:hAnsi="Verdana"/>
                <w:b w:val="0"/>
                <w:sz w:val="16"/>
              </w:rPr>
              <w:t>Nombre d'observations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0 08 050</w:t>
            </w:r>
          </w:p>
        </w:tc>
        <w:tc>
          <w:tcPr>
            <w:tcW w:type="dxa" w:w="1514"/>
          </w:tcPr>
          <w:p>
            <w:pPr>
              <w:spacing w:before="20" w:after="20"/>
            </w:pPr>
            <w:r/>
            <w:r>
              <w:rPr>
                <w:rFonts w:ascii="Verdana" w:hAnsi="Verdana"/>
                <w:b w:val="0"/>
                <w:sz w:val="16"/>
              </w:rPr>
              <w:t>Identificateur pour le nombre de valeurs manquantes dans le calcul des statistiques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0 08 051</w:t>
            </w:r>
          </w:p>
        </w:tc>
        <w:tc>
          <w:tcPr>
            <w:tcW w:type="dxa" w:w="1514"/>
          </w:tcPr>
          <w:p>
            <w:pPr>
              <w:spacing w:before="20" w:after="20"/>
            </w:pPr>
            <w:r/>
            <w:r>
              <w:rPr>
                <w:rFonts w:ascii="Verdana" w:hAnsi="Verdana"/>
                <w:b w:val="0"/>
                <w:sz w:val="16"/>
              </w:rPr>
              <w:t>Identificateur pour le nombre de valeurs manquantes dans le calcul des statistiques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0 08 052</w:t>
            </w:r>
          </w:p>
        </w:tc>
        <w:tc>
          <w:tcPr>
            <w:tcW w:type="dxa" w:w="1514"/>
          </w:tcPr>
          <w:p>
            <w:pPr>
              <w:spacing w:before="20" w:after="20"/>
            </w:pPr>
            <w:r/>
            <w:r>
              <w:rPr>
                <w:rFonts w:ascii="Verdana" w:hAnsi="Verdana"/>
                <w:b w:val="0"/>
                <w:sz w:val="16"/>
              </w:rPr>
              <w:t>Condition pour laquelle le nombre de jours d'occurrence est indiqué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0 08 053</w:t>
            </w:r>
          </w:p>
        </w:tc>
        <w:tc>
          <w:tcPr>
            <w:tcW w:type="dxa" w:w="1514"/>
          </w:tcPr>
          <w:p>
            <w:pPr>
              <w:spacing w:before="20" w:after="20"/>
            </w:pPr>
            <w:r/>
            <w:r>
              <w:rPr>
                <w:rFonts w:ascii="Verdana" w:hAnsi="Verdana"/>
                <w:b w:val="0"/>
                <w:sz w:val="16"/>
              </w:rPr>
              <w:t>Identificateur du jour d'occurrence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0 08 054</w:t>
            </w:r>
          </w:p>
        </w:tc>
        <w:tc>
          <w:tcPr>
            <w:tcW w:type="dxa" w:w="1514"/>
          </w:tcPr>
          <w:p>
            <w:pPr>
              <w:spacing w:before="20" w:after="20"/>
            </w:pPr>
            <w:r/>
            <w:r>
              <w:rPr>
                <w:rFonts w:ascii="Verdana" w:hAnsi="Verdana"/>
                <w:b w:val="0"/>
                <w:sz w:val="16"/>
              </w:rPr>
              <w:t>Identificateur de la vitesse du vent ou des rafales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0 08 060</w:t>
            </w:r>
          </w:p>
        </w:tc>
        <w:tc>
          <w:tcPr>
            <w:tcW w:type="dxa" w:w="1514"/>
          </w:tcPr>
          <w:p>
            <w:pPr>
              <w:spacing w:before="20" w:after="20"/>
            </w:pPr>
            <w:r/>
            <w:r>
              <w:rPr>
                <w:rFonts w:ascii="Verdana" w:hAnsi="Verdana"/>
                <w:b w:val="0"/>
                <w:sz w:val="16"/>
              </w:rPr>
              <w:t>Signification du mode de balayage de l'échantillon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0 08 065</w:t>
            </w:r>
          </w:p>
        </w:tc>
        <w:tc>
          <w:tcPr>
            <w:tcW w:type="dxa" w:w="1514"/>
          </w:tcPr>
          <w:p>
            <w:pPr>
              <w:spacing w:before="20" w:after="20"/>
            </w:pPr>
            <w:r/>
            <w:r>
              <w:rPr>
                <w:rFonts w:ascii="Verdana" w:hAnsi="Verdana"/>
                <w:b w:val="0"/>
                <w:sz w:val="16"/>
              </w:rPr>
              <w:t>Indicateur de reflet solaire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0 08 066</w:t>
            </w:r>
          </w:p>
        </w:tc>
        <w:tc>
          <w:tcPr>
            <w:tcW w:type="dxa" w:w="1514"/>
          </w:tcPr>
          <w:p>
            <w:pPr>
              <w:spacing w:before="20" w:after="20"/>
            </w:pPr>
            <w:r/>
            <w:r>
              <w:rPr>
                <w:rFonts w:ascii="Verdana" w:hAnsi="Verdana"/>
                <w:b w:val="0"/>
                <w:sz w:val="16"/>
              </w:rPr>
              <w:t>Indicateur de semi-transparence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0 08 070</w:t>
            </w:r>
          </w:p>
        </w:tc>
        <w:tc>
          <w:tcPr>
            <w:tcW w:type="dxa" w:w="1514"/>
          </w:tcPr>
          <w:p>
            <w:pPr>
              <w:spacing w:before="20" w:after="20"/>
            </w:pPr>
            <w:r/>
            <w:r>
              <w:rPr>
                <w:rFonts w:ascii="Verdana" w:hAnsi="Verdana"/>
                <w:b w:val="0"/>
                <w:sz w:val="16"/>
              </w:rPr>
              <w:t>Identificateur de produits de sondages verticaux</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0 08 072</w:t>
            </w:r>
          </w:p>
        </w:tc>
        <w:tc>
          <w:tcPr>
            <w:tcW w:type="dxa" w:w="1514"/>
          </w:tcPr>
          <w:p>
            <w:pPr>
              <w:spacing w:before="20" w:after="20"/>
            </w:pPr>
            <w:r/>
            <w:r>
              <w:rPr>
                <w:rFonts w:ascii="Verdana" w:hAnsi="Verdana"/>
                <w:b w:val="0"/>
                <w:sz w:val="16"/>
              </w:rPr>
              <w:t>Type de pixel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0 08 074</w:t>
            </w:r>
          </w:p>
        </w:tc>
        <w:tc>
          <w:tcPr>
            <w:tcW w:type="dxa" w:w="1514"/>
          </w:tcPr>
          <w:p>
            <w:pPr>
              <w:spacing w:before="20" w:after="20"/>
            </w:pPr>
            <w:r/>
            <w:r>
              <w:rPr>
                <w:rFonts w:ascii="Verdana" w:hAnsi="Verdana"/>
                <w:b w:val="0"/>
                <w:sz w:val="16"/>
              </w:rPr>
              <w:t>Type d'écho de l'altimètre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0 08 075</w:t>
            </w:r>
          </w:p>
        </w:tc>
        <w:tc>
          <w:tcPr>
            <w:tcW w:type="dxa" w:w="1514"/>
          </w:tcPr>
          <w:p>
            <w:pPr>
              <w:spacing w:before="20" w:after="20"/>
            </w:pPr>
            <w:r/>
            <w:r>
              <w:rPr>
                <w:rFonts w:ascii="Verdana" w:hAnsi="Verdana"/>
                <w:b w:val="0"/>
                <w:sz w:val="16"/>
              </w:rPr>
              <w:t>Identificateur d'orbite ascendante ou descendante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0 08 076</w:t>
            </w:r>
          </w:p>
        </w:tc>
        <w:tc>
          <w:tcPr>
            <w:tcW w:type="dxa" w:w="1514"/>
          </w:tcPr>
          <w:p>
            <w:pPr>
              <w:spacing w:before="20" w:after="20"/>
            </w:pPr>
            <w:r/>
            <w:r>
              <w:rPr>
                <w:rFonts w:ascii="Verdana" w:hAnsi="Verdana"/>
                <w:b w:val="0"/>
                <w:sz w:val="16"/>
              </w:rPr>
              <w:t>Type de bande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0 08 077</w:t>
            </w:r>
          </w:p>
        </w:tc>
        <w:tc>
          <w:tcPr>
            <w:tcW w:type="dxa" w:w="1514"/>
          </w:tcPr>
          <w:p>
            <w:pPr>
              <w:spacing w:before="20" w:after="20"/>
            </w:pPr>
            <w:r/>
            <w:r>
              <w:rPr>
                <w:rFonts w:ascii="Verdana" w:hAnsi="Verdana"/>
                <w:b w:val="0"/>
                <w:sz w:val="16"/>
              </w:rPr>
              <w:t>Type de surface détecté par radiomètre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0 08 079</w:t>
            </w:r>
          </w:p>
        </w:tc>
        <w:tc>
          <w:tcPr>
            <w:tcW w:type="dxa" w:w="1514"/>
          </w:tcPr>
          <w:p>
            <w:pPr>
              <w:spacing w:before="20" w:after="20"/>
            </w:pPr>
            <w:r/>
            <w:r>
              <w:rPr>
                <w:rFonts w:ascii="Verdana" w:hAnsi="Verdana"/>
                <w:b w:val="0"/>
                <w:sz w:val="16"/>
              </w:rPr>
              <w:t>Catégorie de produit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0 08 080</w:t>
            </w:r>
          </w:p>
        </w:tc>
        <w:tc>
          <w:tcPr>
            <w:tcW w:type="dxa" w:w="1514"/>
          </w:tcPr>
          <w:p>
            <w:pPr>
              <w:spacing w:before="20" w:after="20"/>
            </w:pPr>
            <w:r/>
            <w:r>
              <w:rPr>
                <w:rFonts w:ascii="Verdana" w:hAnsi="Verdana"/>
                <w:b w:val="0"/>
                <w:sz w:val="16"/>
              </w:rPr>
              <w:t>Identificateur de l'indicateur de qualité pour le GTSPP</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0 08 081</w:t>
            </w:r>
          </w:p>
        </w:tc>
        <w:tc>
          <w:tcPr>
            <w:tcW w:type="dxa" w:w="1514"/>
          </w:tcPr>
          <w:p>
            <w:pPr>
              <w:spacing w:before="20" w:after="20"/>
            </w:pPr>
            <w:r/>
            <w:r>
              <w:rPr>
                <w:rFonts w:ascii="Verdana" w:hAnsi="Verdana"/>
                <w:b w:val="0"/>
                <w:sz w:val="16"/>
              </w:rPr>
              <w:t>Type d'équipement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0 08 082</w:t>
            </w:r>
          </w:p>
        </w:tc>
        <w:tc>
          <w:tcPr>
            <w:tcW w:type="dxa" w:w="1514"/>
          </w:tcPr>
          <w:p>
            <w:pPr>
              <w:spacing w:before="20" w:after="20"/>
            </w:pPr>
            <w:r/>
            <w:r>
              <w:rPr>
                <w:rFonts w:ascii="Verdana" w:hAnsi="Verdana"/>
                <w:b w:val="0"/>
                <w:sz w:val="16"/>
              </w:rPr>
              <w:t>Correction de la hauteur du capteur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0 08 083</w:t>
            </w:r>
          </w:p>
        </w:tc>
        <w:tc>
          <w:tcPr>
            <w:tcW w:type="dxa" w:w="1514"/>
          </w:tcPr>
          <w:p>
            <w:pPr>
              <w:spacing w:before="20" w:after="20"/>
            </w:pPr>
            <w:r/>
            <w:r>
              <w:rPr>
                <w:rFonts w:ascii="Verdana" w:hAnsi="Verdana"/>
                <w:b w:val="0"/>
                <w:sz w:val="16"/>
              </w:rPr>
              <w:t>Indicateur de valeur nominale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0 08 085</w:t>
            </w:r>
          </w:p>
        </w:tc>
        <w:tc>
          <w:tcPr>
            <w:tcW w:type="dxa" w:w="1514"/>
          </w:tcPr>
          <w:p>
            <w:pPr>
              <w:spacing w:before="20" w:after="20"/>
            </w:pPr>
            <w:r/>
            <w:r>
              <w:rPr>
                <w:rFonts w:ascii="Verdana" w:hAnsi="Verdana"/>
                <w:b w:val="0"/>
                <w:sz w:val="16"/>
              </w:rPr>
              <w:t>Identification du faisceau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0 08 086</w:t>
            </w:r>
          </w:p>
        </w:tc>
        <w:tc>
          <w:tcPr>
            <w:tcW w:type="dxa" w:w="1514"/>
          </w:tcPr>
          <w:p>
            <w:pPr>
              <w:spacing w:before="20" w:after="20"/>
            </w:pPr>
            <w:r/>
            <w:r>
              <w:rPr>
                <w:rFonts w:ascii="Verdana" w:hAnsi="Verdana"/>
                <w:b w:val="0"/>
                <w:sz w:val="16"/>
              </w:rPr>
              <w:t>Caractéristique verticale pour la prévision numérique du temps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0 08 087</w:t>
            </w:r>
          </w:p>
        </w:tc>
        <w:tc>
          <w:tcPr>
            <w:tcW w:type="dxa" w:w="1514"/>
          </w:tcPr>
          <w:p>
            <w:pPr>
              <w:spacing w:before="20" w:after="20"/>
            </w:pPr>
            <w:r/>
            <w:r>
              <w:rPr>
                <w:rFonts w:ascii="Verdana" w:hAnsi="Verdana"/>
                <w:b w:val="0"/>
                <w:sz w:val="16"/>
              </w:rPr>
              <w:t>Position des coins déterminant la colonne observée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0 08 088</w:t>
            </w:r>
          </w:p>
        </w:tc>
        <w:tc>
          <w:tcPr>
            <w:tcW w:type="dxa" w:w="1514"/>
          </w:tcPr>
          <w:p>
            <w:pPr>
              <w:spacing w:before="20" w:after="20"/>
            </w:pPr>
            <w:r/>
            <w:r>
              <w:rPr>
                <w:rFonts w:ascii="Verdana" w:hAnsi="Verdana"/>
                <w:b w:val="0"/>
                <w:sz w:val="16"/>
              </w:rPr>
              <w:t>Caractéristiques cartographiques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0 08 090</w:t>
            </w:r>
          </w:p>
        </w:tc>
        <w:tc>
          <w:tcPr>
            <w:tcW w:type="dxa" w:w="1514"/>
          </w:tcPr>
          <w:p>
            <w:pPr>
              <w:spacing w:before="20" w:after="20"/>
            </w:pPr>
            <w:r/>
            <w:r>
              <w:rPr>
                <w:rFonts w:ascii="Verdana" w:hAnsi="Verdana"/>
                <w:b w:val="0"/>
                <w:sz w:val="16"/>
              </w:rPr>
              <w:t>Échelle décimale des mantisses suivantes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B51: Le descripteur 0 08 090 doit être utilisé pour établir l’échelle décimale d’un ou de plusieurs descripteurs d’éléments numériques consécutifs nécessitant une vaste gamme dynamique de valeurs. Le ou les descripteurs d’éléments numériques contiendront la valeur ajustée de la ou des mesures avec le nombre nécessaire de chiffres significatifs. On obtiendra la valeur réelle, au niveau de l’application, en multipliant la valeur ajustée par l’échelle décimale donnée: (valeur ajustée x 10 échelle décimale ).</w:t>
            </w:r>
          </w:p>
        </w:tc>
      </w:tr>
      <w:tr>
        <w:trPr>
          <w:cantSplit/>
        </w:trPr>
        <w:tc>
          <w:tcPr>
            <w:tcW w:type="dxa" w:w="1514"/>
          </w:tcPr>
          <w:p>
            <w:pPr>
              <w:spacing w:before="20" w:after="20"/>
            </w:pPr>
            <w:r/>
            <w:r>
              <w:rPr>
                <w:rFonts w:ascii="Verdana" w:hAnsi="Verdana"/>
                <w:b w:val="0"/>
                <w:sz w:val="16"/>
              </w:rPr>
              <w:t>0 08 091</w:t>
            </w:r>
          </w:p>
        </w:tc>
        <w:tc>
          <w:tcPr>
            <w:tcW w:type="dxa" w:w="1514"/>
          </w:tcPr>
          <w:p>
            <w:pPr>
              <w:spacing w:before="20" w:after="20"/>
            </w:pPr>
            <w:r/>
            <w:r>
              <w:rPr>
                <w:rFonts w:ascii="Verdana" w:hAnsi="Verdana"/>
                <w:b w:val="0"/>
                <w:sz w:val="16"/>
              </w:rPr>
              <w:t>Caractéristique des coordonnées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0 08 092</w:t>
            </w:r>
          </w:p>
        </w:tc>
        <w:tc>
          <w:tcPr>
            <w:tcW w:type="dxa" w:w="1514"/>
          </w:tcPr>
          <w:p>
            <w:pPr>
              <w:spacing w:before="20" w:after="20"/>
            </w:pPr>
            <w:r/>
            <w:r>
              <w:rPr>
                <w:rFonts w:ascii="Verdana" w:hAnsi="Verdana"/>
                <w:b w:val="0"/>
                <w:sz w:val="16"/>
              </w:rPr>
              <w:t>Expression de l'incertitude de mesure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0 08 093</w:t>
            </w:r>
          </w:p>
        </w:tc>
        <w:tc>
          <w:tcPr>
            <w:tcW w:type="dxa" w:w="1514"/>
          </w:tcPr>
          <w:p>
            <w:pPr>
              <w:spacing w:before="20" w:after="20"/>
            </w:pPr>
            <w:r/>
            <w:r>
              <w:rPr>
                <w:rFonts w:ascii="Verdana" w:hAnsi="Verdana"/>
                <w:b w:val="0"/>
                <w:sz w:val="16"/>
              </w:rPr>
              <w:t>Caractéristique de l'incertitude de mesure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bl>
    <w:p/>
    <w:p>
      <w:r>
        <w:rPr>
          <w:rFonts w:ascii="Verdana" w:hAnsi="Verdana"/>
          <w:i/>
          <w:sz w:val="14"/>
        </w:rPr>
        <w:t>Note B25: Il est possible d’annuler une signification précédemment définie en transmettant une «valeur manquante» à partir de la table de code ou de la table d’indicateurs appropriée.</w:t>
      </w:r>
    </w:p>
    <w:p>
      <w:r>
        <w:rPr>
          <w:rFonts w:ascii="Verdana" w:hAnsi="Verdana"/>
          <w:i/>
          <w:sz w:val="14"/>
        </w:rPr>
        <w:t>Note B179: Lorsqu’on établit une somme ou une moyenne (par exemple sur une certaine période), on peut représenter le nombre total de valeurs prises en considération pour obtenir cette somme ou cette moyenne en utilisant le descripteur 0 08 022.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